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98D6" w14:textId="77777777" w:rsidR="00491DEC" w:rsidRDefault="005229DF">
      <w:pPr>
        <w:spacing w:before="100" w:after="100" w:line="240" w:lineRule="auto"/>
        <w:jc w:val="center"/>
      </w:pPr>
      <w:r>
        <w:rPr>
          <w:rFonts w:ascii="Garamond" w:eastAsia="Times New Roman" w:hAnsi="Garamond"/>
          <w:b/>
          <w:bCs/>
          <w:noProof/>
          <w:color w:val="000000"/>
          <w:spacing w:val="150"/>
          <w:kern w:val="0"/>
          <w:sz w:val="27"/>
          <w:szCs w:val="27"/>
          <w:lang w:eastAsia="it-IT"/>
        </w:rPr>
        <w:drawing>
          <wp:inline distT="0" distB="0" distL="0" distR="0" wp14:anchorId="2C65A815" wp14:editId="52EDE8E5">
            <wp:extent cx="721991" cy="826773"/>
            <wp:effectExtent l="0" t="0" r="1909" b="0"/>
            <wp:docPr id="1"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721991" cy="826773"/>
                    </a:xfrm>
                    <a:prstGeom prst="rect">
                      <a:avLst/>
                    </a:prstGeom>
                    <a:noFill/>
                    <a:ln>
                      <a:noFill/>
                      <a:prstDash/>
                    </a:ln>
                  </pic:spPr>
                </pic:pic>
              </a:graphicData>
            </a:graphic>
          </wp:inline>
        </w:drawing>
      </w:r>
    </w:p>
    <w:p w14:paraId="301612CC" w14:textId="77777777" w:rsidR="00491DEC" w:rsidRDefault="005229DF">
      <w:pPr>
        <w:spacing w:before="100" w:after="100" w:line="240" w:lineRule="auto"/>
        <w:jc w:val="center"/>
        <w:rPr>
          <w:rFonts w:ascii="Garamond" w:eastAsia="Times New Roman" w:hAnsi="Garamond"/>
          <w:b/>
          <w:bCs/>
          <w:color w:val="000000"/>
          <w:spacing w:val="150"/>
          <w:kern w:val="0"/>
          <w:sz w:val="27"/>
          <w:szCs w:val="27"/>
          <w:lang w:eastAsia="it-IT"/>
        </w:rPr>
      </w:pPr>
      <w:r>
        <w:rPr>
          <w:rFonts w:ascii="Garamond" w:eastAsia="Times New Roman" w:hAnsi="Garamond"/>
          <w:b/>
          <w:bCs/>
          <w:color w:val="000000"/>
          <w:spacing w:val="150"/>
          <w:kern w:val="0"/>
          <w:sz w:val="27"/>
          <w:szCs w:val="27"/>
          <w:lang w:eastAsia="it-IT"/>
        </w:rPr>
        <w:t>REPUBBLICA ITALIANA</w:t>
      </w:r>
    </w:p>
    <w:p w14:paraId="59DBF9C5" w14:textId="77777777" w:rsidR="00491DEC" w:rsidRDefault="005229DF">
      <w:pPr>
        <w:spacing w:before="100" w:after="100" w:line="240" w:lineRule="auto"/>
        <w:jc w:val="center"/>
        <w:rPr>
          <w:rFonts w:ascii="Garamond" w:eastAsia="Times New Roman" w:hAnsi="Garamond"/>
          <w:b/>
          <w:bCs/>
          <w:color w:val="000000"/>
          <w:kern w:val="0"/>
          <w:lang w:eastAsia="it-IT"/>
        </w:rPr>
      </w:pPr>
      <w:r>
        <w:rPr>
          <w:rFonts w:ascii="Garamond" w:eastAsia="Times New Roman" w:hAnsi="Garamond"/>
          <w:b/>
          <w:bCs/>
          <w:color w:val="000000"/>
          <w:kern w:val="0"/>
          <w:lang w:eastAsia="it-IT"/>
        </w:rPr>
        <w:t>IN NOME DEL POPOLO ITALIANO</w:t>
      </w:r>
    </w:p>
    <w:p w14:paraId="6709D65A" w14:textId="77777777" w:rsidR="00491DEC" w:rsidRDefault="005229DF">
      <w:pPr>
        <w:spacing w:before="100" w:after="100" w:line="240" w:lineRule="auto"/>
        <w:jc w:val="center"/>
        <w:rPr>
          <w:rFonts w:ascii="Garamond" w:eastAsia="Times New Roman" w:hAnsi="Garamond"/>
          <w:b/>
          <w:bCs/>
          <w:color w:val="000000"/>
          <w:kern w:val="0"/>
          <w:sz w:val="26"/>
          <w:szCs w:val="26"/>
          <w:lang w:eastAsia="it-IT"/>
        </w:rPr>
      </w:pPr>
      <w:r>
        <w:rPr>
          <w:rFonts w:ascii="Garamond" w:eastAsia="Times New Roman" w:hAnsi="Garamond"/>
          <w:b/>
          <w:bCs/>
          <w:color w:val="000000"/>
          <w:kern w:val="0"/>
          <w:sz w:val="26"/>
          <w:szCs w:val="26"/>
          <w:lang w:eastAsia="it-IT"/>
        </w:rPr>
        <w:t>Il Consiglio di Stato</w:t>
      </w:r>
    </w:p>
    <w:p w14:paraId="7F712816" w14:textId="77777777" w:rsidR="00491DEC" w:rsidRDefault="005229DF">
      <w:pPr>
        <w:spacing w:before="100" w:after="100" w:line="240" w:lineRule="auto"/>
        <w:jc w:val="center"/>
        <w:rPr>
          <w:rFonts w:ascii="Garamond" w:eastAsia="Times New Roman" w:hAnsi="Garamond"/>
          <w:b/>
          <w:bCs/>
          <w:color w:val="000000"/>
          <w:kern w:val="0"/>
          <w:sz w:val="26"/>
          <w:szCs w:val="26"/>
          <w:lang w:eastAsia="it-IT"/>
        </w:rPr>
      </w:pPr>
      <w:r>
        <w:rPr>
          <w:rFonts w:ascii="Garamond" w:eastAsia="Times New Roman" w:hAnsi="Garamond"/>
          <w:b/>
          <w:bCs/>
          <w:color w:val="000000"/>
          <w:kern w:val="0"/>
          <w:sz w:val="26"/>
          <w:szCs w:val="26"/>
          <w:lang w:eastAsia="it-IT"/>
        </w:rPr>
        <w:t>in sede giurisdizionale (Sezione Quinta)</w:t>
      </w:r>
    </w:p>
    <w:p w14:paraId="331BDBB0" w14:textId="77777777" w:rsidR="00491DEC" w:rsidRDefault="005229DF">
      <w:pPr>
        <w:spacing w:after="0" w:line="520" w:lineRule="atLeast"/>
        <w:ind w:firstLine="567"/>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ha pronunciato la presente</w:t>
      </w:r>
    </w:p>
    <w:p w14:paraId="4EC7C6FA" w14:textId="77777777" w:rsidR="00491DEC" w:rsidRDefault="005229DF">
      <w:pPr>
        <w:spacing w:before="100" w:after="100" w:line="240" w:lineRule="auto"/>
        <w:jc w:val="center"/>
        <w:rPr>
          <w:rFonts w:ascii="Garamond" w:eastAsia="Times New Roman" w:hAnsi="Garamond"/>
          <w:b/>
          <w:bCs/>
          <w:color w:val="000000"/>
          <w:kern w:val="0"/>
          <w:sz w:val="26"/>
          <w:szCs w:val="26"/>
          <w:lang w:eastAsia="it-IT"/>
        </w:rPr>
      </w:pPr>
      <w:r>
        <w:rPr>
          <w:rFonts w:ascii="Garamond" w:eastAsia="Times New Roman" w:hAnsi="Garamond"/>
          <w:b/>
          <w:bCs/>
          <w:color w:val="000000"/>
          <w:kern w:val="0"/>
          <w:sz w:val="26"/>
          <w:szCs w:val="26"/>
          <w:lang w:eastAsia="it-IT"/>
        </w:rPr>
        <w:t>SENTENZA</w:t>
      </w:r>
    </w:p>
    <w:p w14:paraId="61294F11" w14:textId="77777777" w:rsidR="00491DEC" w:rsidRDefault="005229DF">
      <w:pPr>
        <w:spacing w:after="0" w:line="520" w:lineRule="atLeast"/>
        <w:jc w:val="both"/>
      </w:pPr>
      <w:r>
        <w:rPr>
          <w:rFonts w:ascii="Garamond" w:eastAsia="Times New Roman" w:hAnsi="Garamond"/>
          <w:color w:val="000000"/>
          <w:kern w:val="0"/>
          <w:sz w:val="30"/>
          <w:szCs w:val="30"/>
          <w:lang w:eastAsia="it-IT"/>
        </w:rPr>
        <w:t>sul ricorso numero di registro generale 6934 del 2025, proposto da</w:t>
      </w:r>
      <w:r>
        <w:rPr>
          <w:rFonts w:ascii="Garamond" w:eastAsia="Times New Roman" w:hAnsi="Garamond"/>
          <w:color w:val="000000"/>
          <w:kern w:val="0"/>
          <w:sz w:val="30"/>
          <w:szCs w:val="30"/>
          <w:lang w:eastAsia="it-IT"/>
        </w:rPr>
        <w:br/>
      </w:r>
      <w:r>
        <w:rPr>
          <w:rFonts w:ascii="Garamond" w:eastAsia="Times New Roman" w:hAnsi="Garamond"/>
          <w:color w:val="000000"/>
          <w:kern w:val="0"/>
          <w:sz w:val="30"/>
          <w:szCs w:val="30"/>
          <w:lang w:eastAsia="it-IT"/>
        </w:rPr>
        <w:t xml:space="preserve">Seatrag </w:t>
      </w:r>
      <w:r>
        <w:rPr>
          <w:rFonts w:ascii="Garamond" w:eastAsia="Times New Roman" w:hAnsi="Garamond"/>
          <w:color w:val="000000"/>
          <w:kern w:val="0"/>
          <w:sz w:val="30"/>
          <w:szCs w:val="30"/>
          <w:lang w:eastAsia="it-IT"/>
        </w:rPr>
        <w:t>Autostrade del Mare S.r.l., in persona del legale rappresentante</w:t>
      </w:r>
      <w:r>
        <w:rPr>
          <w:rFonts w:ascii="Garamond" w:eastAsia="Times New Roman" w:hAnsi="Garamond"/>
          <w:i/>
          <w:iCs/>
          <w:color w:val="000000"/>
          <w:kern w:val="0"/>
          <w:sz w:val="30"/>
          <w:szCs w:val="30"/>
          <w:lang w:eastAsia="it-IT"/>
        </w:rPr>
        <w:t> pro tempore</w:t>
      </w:r>
      <w:r>
        <w:rPr>
          <w:rFonts w:ascii="Garamond" w:eastAsia="Times New Roman" w:hAnsi="Garamond"/>
          <w:color w:val="000000"/>
          <w:kern w:val="0"/>
          <w:sz w:val="30"/>
          <w:szCs w:val="30"/>
          <w:lang w:eastAsia="it-IT"/>
        </w:rPr>
        <w:t>, rappresentata e difesa dagli avvocati Valerio Pardini, Antonino Sacca', con domicilio eletto presso lo studio Valerio Pardini in Firenze, via Panciatichi n. 78;</w:t>
      </w:r>
    </w:p>
    <w:p w14:paraId="08CB2EBF" w14:textId="77777777" w:rsidR="00491DEC" w:rsidRDefault="005229DF">
      <w:pPr>
        <w:spacing w:after="0" w:line="520" w:lineRule="atLeast"/>
        <w:jc w:val="center"/>
        <w:rPr>
          <w:rFonts w:ascii="Garamond" w:eastAsia="Times New Roman" w:hAnsi="Garamond"/>
          <w:b/>
          <w:bCs/>
          <w:i/>
          <w:iCs/>
          <w:color w:val="000000"/>
          <w:kern w:val="0"/>
          <w:sz w:val="30"/>
          <w:szCs w:val="30"/>
          <w:lang w:eastAsia="it-IT"/>
        </w:rPr>
      </w:pPr>
      <w:r>
        <w:rPr>
          <w:rFonts w:ascii="Garamond" w:eastAsia="Times New Roman" w:hAnsi="Garamond"/>
          <w:b/>
          <w:bCs/>
          <w:i/>
          <w:iCs/>
          <w:color w:val="000000"/>
          <w:kern w:val="0"/>
          <w:sz w:val="30"/>
          <w:szCs w:val="30"/>
          <w:lang w:eastAsia="it-IT"/>
        </w:rPr>
        <w:t>contro</w:t>
      </w:r>
    </w:p>
    <w:p w14:paraId="75CD1A9E" w14:textId="77777777" w:rsidR="00491DEC" w:rsidRDefault="005229DF">
      <w:pPr>
        <w:spacing w:after="0" w:line="520" w:lineRule="atLeast"/>
        <w:jc w:val="both"/>
      </w:pPr>
      <w:r>
        <w:rPr>
          <w:rFonts w:ascii="Garamond" w:eastAsia="Times New Roman" w:hAnsi="Garamond"/>
          <w:color w:val="000000"/>
          <w:kern w:val="0"/>
          <w:sz w:val="30"/>
          <w:szCs w:val="30"/>
          <w:lang w:eastAsia="it-IT"/>
        </w:rPr>
        <w:t xml:space="preserve">Ministero </w:t>
      </w:r>
      <w:r>
        <w:rPr>
          <w:rFonts w:ascii="Garamond" w:eastAsia="Times New Roman" w:hAnsi="Garamond"/>
          <w:color w:val="000000"/>
          <w:kern w:val="0"/>
          <w:sz w:val="30"/>
          <w:szCs w:val="30"/>
          <w:lang w:eastAsia="it-IT"/>
        </w:rPr>
        <w:t>delle Infrastrutture e dei Trasporti e Autorità di Sistema Portuale del Mar Tirreno Settentrionale, in persona del legale rappresentante </w:t>
      </w:r>
      <w:r>
        <w:rPr>
          <w:rFonts w:ascii="Garamond" w:eastAsia="Times New Roman" w:hAnsi="Garamond"/>
          <w:i/>
          <w:iCs/>
          <w:color w:val="000000"/>
          <w:kern w:val="0"/>
          <w:sz w:val="30"/>
          <w:szCs w:val="30"/>
          <w:lang w:eastAsia="it-IT"/>
        </w:rPr>
        <w:t>pro tempore</w:t>
      </w:r>
      <w:r>
        <w:rPr>
          <w:rFonts w:ascii="Garamond" w:eastAsia="Times New Roman" w:hAnsi="Garamond"/>
          <w:color w:val="000000"/>
          <w:kern w:val="0"/>
          <w:sz w:val="30"/>
          <w:szCs w:val="30"/>
          <w:lang w:eastAsia="it-IT"/>
        </w:rPr>
        <w:t>, rappresentati e difesi dall'Avvocatura Generale dello Stato, domiciliataria </w:t>
      </w:r>
      <w:r>
        <w:rPr>
          <w:rFonts w:ascii="Garamond" w:eastAsia="Times New Roman" w:hAnsi="Garamond"/>
          <w:i/>
          <w:iCs/>
          <w:color w:val="000000"/>
          <w:kern w:val="0"/>
          <w:sz w:val="30"/>
          <w:szCs w:val="30"/>
          <w:lang w:eastAsia="it-IT"/>
        </w:rPr>
        <w:t>ex lege</w:t>
      </w:r>
      <w:r>
        <w:rPr>
          <w:rFonts w:ascii="Garamond" w:eastAsia="Times New Roman" w:hAnsi="Garamond"/>
          <w:color w:val="000000"/>
          <w:kern w:val="0"/>
          <w:sz w:val="30"/>
          <w:szCs w:val="30"/>
          <w:lang w:eastAsia="it-IT"/>
        </w:rPr>
        <w:t> in Roma, via dei Porto</w:t>
      </w:r>
      <w:r>
        <w:rPr>
          <w:rFonts w:ascii="Garamond" w:eastAsia="Times New Roman" w:hAnsi="Garamond"/>
          <w:color w:val="000000"/>
          <w:kern w:val="0"/>
          <w:sz w:val="30"/>
          <w:szCs w:val="30"/>
          <w:lang w:eastAsia="it-IT"/>
        </w:rPr>
        <w:t>ghesi, 12;</w:t>
      </w:r>
      <w:r>
        <w:rPr>
          <w:rFonts w:ascii="Garamond" w:eastAsia="Times New Roman" w:hAnsi="Garamond"/>
          <w:color w:val="000000"/>
          <w:kern w:val="0"/>
          <w:sz w:val="30"/>
          <w:szCs w:val="30"/>
          <w:lang w:eastAsia="it-IT"/>
        </w:rPr>
        <w:br/>
      </w:r>
      <w:r>
        <w:rPr>
          <w:rFonts w:ascii="Garamond" w:eastAsia="Times New Roman" w:hAnsi="Garamond"/>
          <w:color w:val="000000"/>
          <w:kern w:val="0"/>
          <w:sz w:val="30"/>
          <w:szCs w:val="30"/>
          <w:lang w:eastAsia="it-IT"/>
        </w:rPr>
        <w:t>Uniport Livorno Società Cooperativa S.r.l., in persona del legale rappresentante</w:t>
      </w:r>
      <w:r>
        <w:rPr>
          <w:rFonts w:ascii="Garamond" w:eastAsia="Times New Roman" w:hAnsi="Garamond"/>
          <w:i/>
          <w:iCs/>
          <w:color w:val="000000"/>
          <w:kern w:val="0"/>
          <w:sz w:val="30"/>
          <w:szCs w:val="30"/>
          <w:lang w:eastAsia="it-IT"/>
        </w:rPr>
        <w:t> pro tempore</w:t>
      </w:r>
      <w:r>
        <w:rPr>
          <w:rFonts w:ascii="Garamond" w:eastAsia="Times New Roman" w:hAnsi="Garamond"/>
          <w:color w:val="000000"/>
          <w:kern w:val="0"/>
          <w:sz w:val="30"/>
          <w:szCs w:val="30"/>
          <w:lang w:eastAsia="it-IT"/>
        </w:rPr>
        <w:t>, rappresentata e difesa dagli avvocati Paolo Bassano, Federico De Meo, con domicilio eletto presso lo studio Paolo Bassano in Livorno, via dei Fulgidi n</w:t>
      </w:r>
      <w:r>
        <w:rPr>
          <w:rFonts w:ascii="Garamond" w:eastAsia="Times New Roman" w:hAnsi="Garamond"/>
          <w:color w:val="000000"/>
          <w:kern w:val="0"/>
          <w:sz w:val="30"/>
          <w:szCs w:val="30"/>
          <w:lang w:eastAsia="it-IT"/>
        </w:rPr>
        <w:t>. 12;</w:t>
      </w:r>
    </w:p>
    <w:p w14:paraId="5883194E" w14:textId="77777777" w:rsidR="00491DEC" w:rsidRDefault="005229DF">
      <w:pPr>
        <w:spacing w:after="0" w:line="520" w:lineRule="atLeast"/>
        <w:jc w:val="center"/>
        <w:rPr>
          <w:rFonts w:ascii="Garamond" w:eastAsia="Times New Roman" w:hAnsi="Garamond"/>
          <w:b/>
          <w:bCs/>
          <w:i/>
          <w:iCs/>
          <w:color w:val="000000"/>
          <w:kern w:val="0"/>
          <w:sz w:val="30"/>
          <w:szCs w:val="30"/>
          <w:lang w:eastAsia="it-IT"/>
        </w:rPr>
      </w:pPr>
      <w:r>
        <w:rPr>
          <w:rFonts w:ascii="Garamond" w:eastAsia="Times New Roman" w:hAnsi="Garamond"/>
          <w:b/>
          <w:bCs/>
          <w:i/>
          <w:iCs/>
          <w:color w:val="000000"/>
          <w:kern w:val="0"/>
          <w:sz w:val="30"/>
          <w:szCs w:val="30"/>
          <w:lang w:eastAsia="it-IT"/>
        </w:rPr>
        <w:t>per la riforma della sentenza del Tribunale Amministrativo Regionale per la Toscana (Sezione Quarta) n. 00706/2025, resa tra le parti.</w:t>
      </w:r>
    </w:p>
    <w:p w14:paraId="386EB38E" w14:textId="77777777" w:rsidR="00491DEC" w:rsidRDefault="005229DF">
      <w:pPr>
        <w:spacing w:after="0" w:line="240" w:lineRule="auto"/>
      </w:pPr>
      <w:r>
        <w:rPr>
          <w:rFonts w:ascii="Times New Roman" w:eastAsia="Times New Roman" w:hAnsi="Times New Roman"/>
          <w:color w:val="000000"/>
          <w:kern w:val="0"/>
          <w:sz w:val="27"/>
          <w:szCs w:val="27"/>
          <w:lang w:eastAsia="it-IT"/>
        </w:rPr>
        <w:br/>
      </w:r>
    </w:p>
    <w:p w14:paraId="09EB2FD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Visti il ricorso in appello e i relativi allegati;</w:t>
      </w:r>
    </w:p>
    <w:p w14:paraId="1E974278"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Visti gli atti di costituzione in giudizio del </w:t>
      </w:r>
      <w:r>
        <w:rPr>
          <w:rFonts w:ascii="Garamond" w:eastAsia="Times New Roman" w:hAnsi="Garamond"/>
          <w:color w:val="000000"/>
          <w:kern w:val="0"/>
          <w:sz w:val="30"/>
          <w:szCs w:val="30"/>
          <w:lang w:eastAsia="it-IT"/>
        </w:rPr>
        <w:t>Ministero delle Infrastrutture e dei Trasporti e dell’Autorità di Sistema Portuale del Mar Tirreno Settentrionale, nonché di Uniport Livorno Società Cooperativa S.r.l.;</w:t>
      </w:r>
    </w:p>
    <w:p w14:paraId="2BDDB6A2"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lastRenderedPageBreak/>
        <w:t>Visti tutti gli atti della causa;</w:t>
      </w:r>
    </w:p>
    <w:p w14:paraId="73B431C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Relatore nell'udienza pubblica del giorno 26 marzo 20</w:t>
      </w:r>
      <w:r>
        <w:rPr>
          <w:rFonts w:ascii="Garamond" w:eastAsia="Times New Roman" w:hAnsi="Garamond"/>
          <w:color w:val="000000"/>
          <w:kern w:val="0"/>
          <w:sz w:val="30"/>
          <w:szCs w:val="30"/>
          <w:lang w:eastAsia="it-IT"/>
        </w:rPr>
        <w:t>26 il Cons. Giuseppina Luciana Barreca e viste le conclusioni delle parti come da verbale;</w:t>
      </w:r>
    </w:p>
    <w:p w14:paraId="62E7743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Ritenuto e considerato in fatto e diritto quanto segue.</w:t>
      </w:r>
    </w:p>
    <w:p w14:paraId="64624DCD" w14:textId="77777777" w:rsidR="00491DEC" w:rsidRDefault="005229DF">
      <w:pPr>
        <w:spacing w:after="0" w:line="240" w:lineRule="auto"/>
      </w:pPr>
      <w:r>
        <w:rPr>
          <w:rFonts w:ascii="Times New Roman" w:eastAsia="Times New Roman" w:hAnsi="Times New Roman"/>
          <w:color w:val="000000"/>
          <w:kern w:val="0"/>
          <w:sz w:val="27"/>
          <w:szCs w:val="27"/>
          <w:lang w:eastAsia="it-IT"/>
        </w:rPr>
        <w:br/>
      </w:r>
    </w:p>
    <w:p w14:paraId="2A4F99ED" w14:textId="77777777" w:rsidR="00491DEC" w:rsidRDefault="005229DF">
      <w:pPr>
        <w:spacing w:after="0" w:line="540" w:lineRule="atLeast"/>
        <w:jc w:val="center"/>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FATTO e DIRITTO</w:t>
      </w:r>
    </w:p>
    <w:p w14:paraId="4AD0D48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1.Con la sentenza indicata in epigrafe, il Tribunale amministrativo regionale per la Toscan</w:t>
      </w:r>
      <w:r>
        <w:rPr>
          <w:rFonts w:ascii="Garamond" w:eastAsia="Times New Roman" w:hAnsi="Garamond"/>
          <w:color w:val="000000"/>
          <w:kern w:val="0"/>
          <w:sz w:val="30"/>
          <w:szCs w:val="30"/>
          <w:lang w:eastAsia="it-IT"/>
        </w:rPr>
        <w:t xml:space="preserve">a ha dichiarato inammissibili e, comunque, ritenuto infondati nel merito il ricorso e i motivi aggiunti proposti dalla società Seatrag Autostrade del Mare s.r.l. contro il Ministero delle Infrastrutture e dei Trasporti e l’Autorità di Sistema Portuale del </w:t>
      </w:r>
      <w:r>
        <w:rPr>
          <w:rFonts w:ascii="Garamond" w:eastAsia="Times New Roman" w:hAnsi="Garamond"/>
          <w:color w:val="000000"/>
          <w:kern w:val="0"/>
          <w:sz w:val="30"/>
          <w:szCs w:val="30"/>
          <w:lang w:eastAsia="it-IT"/>
        </w:rPr>
        <w:t>Mar Tirreno Settentrionale e nei confronti della Uniport Livorno società cooperativa, per l’annullamento dei provvedimenti del Presidente dell’Autorità specificati in atti, recanti il riconoscimento in favore di Uniport soc.coop. del contributo di cui all’</w:t>
      </w:r>
      <w:r>
        <w:rPr>
          <w:rFonts w:ascii="Garamond" w:eastAsia="Times New Roman" w:hAnsi="Garamond"/>
          <w:color w:val="000000"/>
          <w:kern w:val="0"/>
          <w:sz w:val="30"/>
          <w:szCs w:val="30"/>
          <w:lang w:eastAsia="it-IT"/>
        </w:rPr>
        <w:t>art. 199 d.l. 34/2020 per il periodo gennaio 2021-marzo 2024 (ricorso principale) e per il periodo aprile-settembre 2024 (motivi aggiunti), nonché per l’annullamento delle note dell’Autorità n. 0015848 del 7 marzo 2020 e del Ministero n. 0016777 del 10 mar</w:t>
      </w:r>
      <w:r>
        <w:rPr>
          <w:rFonts w:ascii="Garamond" w:eastAsia="Times New Roman" w:hAnsi="Garamond"/>
          <w:color w:val="000000"/>
          <w:kern w:val="0"/>
          <w:sz w:val="30"/>
          <w:szCs w:val="30"/>
          <w:lang w:eastAsia="it-IT"/>
        </w:rPr>
        <w:t>zo 2022.</w:t>
      </w:r>
    </w:p>
    <w:p w14:paraId="4875A75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1.1. Il Tribunale ha premesso in fatto quanto segue:</w:t>
      </w:r>
    </w:p>
    <w:p w14:paraId="64A28BB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la ricorrente, società Seatrag Autostrade del Mare s.r.l., impresa autorizzata all’esercizio delle operazioni portuali per conto terzi nel porto di Livorno ai sensi dell’art. 16 della legge n.</w:t>
      </w:r>
      <w:r>
        <w:rPr>
          <w:rFonts w:ascii="Garamond" w:eastAsia="Times New Roman" w:hAnsi="Garamond"/>
          <w:color w:val="000000"/>
          <w:kern w:val="0"/>
          <w:sz w:val="30"/>
          <w:szCs w:val="30"/>
          <w:lang w:eastAsia="it-IT"/>
        </w:rPr>
        <w:t xml:space="preserve"> 84 del 1994, chiede l’annullamento dei provvedimenti del Presidente dell’AdSP-MTS adottati fra il maggio 2021 ed il maggio 2024 relativi al riconoscimento a favore della società Uniport Livorno società cooperativa a r.l. (altra impresa portuale autorizzat</w:t>
      </w:r>
      <w:r>
        <w:rPr>
          <w:rFonts w:ascii="Garamond" w:eastAsia="Times New Roman" w:hAnsi="Garamond"/>
          <w:color w:val="000000"/>
          <w:kern w:val="0"/>
          <w:sz w:val="30"/>
          <w:szCs w:val="30"/>
          <w:lang w:eastAsia="it-IT"/>
        </w:rPr>
        <w:t>a allo svolgimento di operazioni portuali ai sensi dell’art. 16 della legge n. 84 del 1994) del contributo disciplinato all’art. 199, comma 1 lett. b), del d.l. n. 34 del 2020 convertito in legge n. 77 del 2020, norma successivamente prorogata anche per gl</w:t>
      </w:r>
      <w:r>
        <w:rPr>
          <w:rFonts w:ascii="Garamond" w:eastAsia="Times New Roman" w:hAnsi="Garamond"/>
          <w:color w:val="000000"/>
          <w:kern w:val="0"/>
          <w:sz w:val="30"/>
          <w:szCs w:val="30"/>
          <w:lang w:eastAsia="it-IT"/>
        </w:rPr>
        <w:t xml:space="preserve">i anni 2022-2023-2024 per compensare il decremento dei </w:t>
      </w:r>
      <w:r>
        <w:rPr>
          <w:rFonts w:ascii="Garamond" w:eastAsia="Times New Roman" w:hAnsi="Garamond"/>
          <w:color w:val="000000"/>
          <w:kern w:val="0"/>
          <w:sz w:val="30"/>
          <w:szCs w:val="30"/>
          <w:lang w:eastAsia="it-IT"/>
        </w:rPr>
        <w:lastRenderedPageBreak/>
        <w:t>ricavi conseguente alla crisi dei traffici determinati dal conflitto russo-ucraino e successivamente dalla crisi nel Medio Oriente e nel Mar Rosso;</w:t>
      </w:r>
    </w:p>
    <w:p w14:paraId="4AD647F7" w14:textId="77777777" w:rsidR="00491DEC" w:rsidRDefault="005229DF">
      <w:pPr>
        <w:spacing w:after="0" w:line="520" w:lineRule="atLeast"/>
        <w:jc w:val="both"/>
      </w:pPr>
      <w:r>
        <w:rPr>
          <w:rFonts w:ascii="Garamond" w:eastAsia="Times New Roman" w:hAnsi="Garamond"/>
          <w:color w:val="000000"/>
          <w:kern w:val="0"/>
          <w:sz w:val="30"/>
          <w:szCs w:val="30"/>
          <w:lang w:eastAsia="it-IT"/>
        </w:rPr>
        <w:t>- la ricorrente ha evidenziato come essa avesse conse</w:t>
      </w:r>
      <w:r>
        <w:rPr>
          <w:rFonts w:ascii="Garamond" w:eastAsia="Times New Roman" w:hAnsi="Garamond"/>
          <w:color w:val="000000"/>
          <w:kern w:val="0"/>
          <w:sz w:val="30"/>
          <w:szCs w:val="30"/>
          <w:lang w:eastAsia="it-IT"/>
        </w:rPr>
        <w:t>guito il contributo in questione in misura proporzionalmente inferiore alla società Uniport per l’anno 2020, fino all’azzeramento per gli anni 2021-2022-2023, e come tale “anomala ripartizione” trovasse causa nel fatto che l’AdSP aveva continuato a corrisp</w:t>
      </w:r>
      <w:r>
        <w:rPr>
          <w:rFonts w:ascii="Garamond" w:eastAsia="Times New Roman" w:hAnsi="Garamond"/>
          <w:color w:val="000000"/>
          <w:kern w:val="0"/>
          <w:sz w:val="30"/>
          <w:szCs w:val="30"/>
          <w:lang w:eastAsia="it-IT"/>
        </w:rPr>
        <w:t>ondere quel contributo ad Uniport sulla base del differenziale fra turni lavorati nell’anno 2019 e quelli lavorati negli anni successivi, senza tenere conto della riduzione dell’organico di personale di Uniport; in altre parole, il</w:t>
      </w:r>
      <w:r>
        <w:rPr>
          <w:rFonts w:ascii="Garamond" w:eastAsia="Times New Roman" w:hAnsi="Garamond"/>
          <w:i/>
          <w:iCs/>
          <w:color w:val="000000"/>
          <w:kern w:val="0"/>
          <w:sz w:val="30"/>
          <w:szCs w:val="30"/>
          <w:lang w:eastAsia="it-IT"/>
        </w:rPr>
        <w:t> quantum</w:t>
      </w:r>
      <w:r>
        <w:rPr>
          <w:rFonts w:ascii="Garamond" w:eastAsia="Times New Roman" w:hAnsi="Garamond"/>
          <w:color w:val="000000"/>
          <w:kern w:val="0"/>
          <w:sz w:val="30"/>
          <w:szCs w:val="30"/>
          <w:lang w:eastAsia="it-IT"/>
        </w:rPr>
        <w:t> del contributo e</w:t>
      </w:r>
      <w:r>
        <w:rPr>
          <w:rFonts w:ascii="Garamond" w:eastAsia="Times New Roman" w:hAnsi="Garamond"/>
          <w:color w:val="000000"/>
          <w:kern w:val="0"/>
          <w:sz w:val="30"/>
          <w:szCs w:val="30"/>
          <w:lang w:eastAsia="it-IT"/>
        </w:rPr>
        <w:t>rogato a Uniport era stato determinato prendendo in riferimento la differenza, in termini assoluti, fra i turni lavorativi prestati in ciascun mese del 2019 e quelli svolti nel medesimo periodo degli anni successivi, includendo nel calcolo anche i turni ri</w:t>
      </w:r>
      <w:r>
        <w:rPr>
          <w:rFonts w:ascii="Garamond" w:eastAsia="Times New Roman" w:hAnsi="Garamond"/>
          <w:color w:val="000000"/>
          <w:kern w:val="0"/>
          <w:sz w:val="30"/>
          <w:szCs w:val="30"/>
          <w:lang w:eastAsia="it-IT"/>
        </w:rPr>
        <w:t>feribili a lavoratori che erano in servizio nel 2019, ma che non lo erano più negli anni successivi;</w:t>
      </w:r>
    </w:p>
    <w:p w14:paraId="1993A4D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la ricorrente ritiene illegittimo questo criterio di calcolo giacché si sarebbe riconosciuto il contributo non solo per i turni lavorativi non prestati a</w:t>
      </w:r>
      <w:r>
        <w:rPr>
          <w:rFonts w:ascii="Garamond" w:eastAsia="Times New Roman" w:hAnsi="Garamond"/>
          <w:color w:val="000000"/>
          <w:kern w:val="0"/>
          <w:sz w:val="30"/>
          <w:szCs w:val="30"/>
          <w:lang w:eastAsia="it-IT"/>
        </w:rPr>
        <w:t xml:space="preserve"> causa del calo delle attività portuali cagionato da: COVID-19 -conflitto russo-ucraino e crisi in Medio Oriente, ma anche per i turni non lavorati per il semplice fatto che il rapporto lavorativo fra dipendenti e impresa era nel frattempo cessato;</w:t>
      </w:r>
    </w:p>
    <w:p w14:paraId="5027012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 tale </w:t>
      </w:r>
      <w:r>
        <w:rPr>
          <w:rFonts w:ascii="Garamond" w:eastAsia="Times New Roman" w:hAnsi="Garamond"/>
          <w:color w:val="000000"/>
          <w:kern w:val="0"/>
          <w:sz w:val="30"/>
          <w:szCs w:val="30"/>
          <w:lang w:eastAsia="it-IT"/>
        </w:rPr>
        <w:t>indebito contributo economico accordato a un imprenditore concorrente nel medesimo settore configurerebbe un illegittimo vantaggio finanziario, idoneo a distorcere la curva della concorrenza a danno degli altri;</w:t>
      </w:r>
    </w:p>
    <w:p w14:paraId="036502FA"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la ricorrente ha chiesto l’annullamento an</w:t>
      </w:r>
      <w:r>
        <w:rPr>
          <w:rFonts w:ascii="Garamond" w:eastAsia="Times New Roman" w:hAnsi="Garamond"/>
          <w:color w:val="000000"/>
          <w:kern w:val="0"/>
          <w:sz w:val="30"/>
          <w:szCs w:val="30"/>
          <w:lang w:eastAsia="it-IT"/>
        </w:rPr>
        <w:t>che della richiesta di parere inviata dall’AdSP al Ministero delle Infrastrutture sulla correttezza della procedura seguita per il calcolo del contributo, unitamente al positivo riscontro da quest’ultimo fornito;</w:t>
      </w:r>
    </w:p>
    <w:p w14:paraId="552FEC50" w14:textId="77777777" w:rsidR="00491DEC" w:rsidRDefault="005229DF">
      <w:pPr>
        <w:spacing w:after="0" w:line="520" w:lineRule="atLeast"/>
        <w:jc w:val="both"/>
      </w:pPr>
      <w:r>
        <w:rPr>
          <w:rFonts w:ascii="Garamond" w:eastAsia="Times New Roman" w:hAnsi="Garamond"/>
          <w:color w:val="000000"/>
          <w:kern w:val="0"/>
          <w:sz w:val="30"/>
          <w:szCs w:val="30"/>
          <w:lang w:eastAsia="it-IT"/>
        </w:rPr>
        <w:lastRenderedPageBreak/>
        <w:t>- in particolare, con la nota del 7 marzo 2</w:t>
      </w:r>
      <w:r>
        <w:rPr>
          <w:rFonts w:ascii="Garamond" w:eastAsia="Times New Roman" w:hAnsi="Garamond"/>
          <w:color w:val="000000"/>
          <w:kern w:val="0"/>
          <w:sz w:val="30"/>
          <w:szCs w:val="30"/>
          <w:lang w:eastAsia="it-IT"/>
        </w:rPr>
        <w:t>022 l’AdSP aveva segnalato al MIT: “</w:t>
      </w:r>
      <w:r>
        <w:rPr>
          <w:rFonts w:ascii="Garamond" w:eastAsia="Times New Roman" w:hAnsi="Garamond"/>
          <w:i/>
          <w:iCs/>
          <w:color w:val="000000"/>
          <w:kern w:val="0"/>
          <w:sz w:val="30"/>
          <w:szCs w:val="30"/>
          <w:lang w:eastAsia="it-IT"/>
        </w:rPr>
        <w:t>Al riguardo, pur avendo la scrivente AdSP ritualmente provveduto ad erogare il summenzionato contributo per il biennio 2020/2021, è emersa un’interpretazione applicativa che si ritiene opportuno condividere con codesto D</w:t>
      </w:r>
      <w:r>
        <w:rPr>
          <w:rFonts w:ascii="Garamond" w:eastAsia="Times New Roman" w:hAnsi="Garamond"/>
          <w:i/>
          <w:iCs/>
          <w:color w:val="000000"/>
          <w:kern w:val="0"/>
          <w:sz w:val="30"/>
          <w:szCs w:val="30"/>
          <w:lang w:eastAsia="it-IT"/>
        </w:rPr>
        <w:t>icastero. Nello specifico, si tratta della circostanza che vede coinvolta un’impresa autorizzata ex art. 16 che, nel corso del citato biennio, ha notevolmente ridotto il proprio organico. In tale ipotesi, si riferisce che all’attualità la scrivente ha prov</w:t>
      </w:r>
      <w:r>
        <w:rPr>
          <w:rFonts w:ascii="Garamond" w:eastAsia="Times New Roman" w:hAnsi="Garamond"/>
          <w:i/>
          <w:iCs/>
          <w:color w:val="000000"/>
          <w:kern w:val="0"/>
          <w:sz w:val="30"/>
          <w:szCs w:val="30"/>
          <w:lang w:eastAsia="it-IT"/>
        </w:rPr>
        <w:t>veduto a conteggiare i minori turni lavorati senza tener conto del processo di riorganizzazione e riduzione della forza lavoro avviato dall’impresa, ritenendo che anche l’esigenza di contrarre sensibilmente la propria capacità lavorativa possa essere consi</w:t>
      </w:r>
      <w:r>
        <w:rPr>
          <w:rFonts w:ascii="Garamond" w:eastAsia="Times New Roman" w:hAnsi="Garamond"/>
          <w:i/>
          <w:iCs/>
          <w:color w:val="000000"/>
          <w:kern w:val="0"/>
          <w:sz w:val="30"/>
          <w:szCs w:val="30"/>
          <w:lang w:eastAsia="it-IT"/>
        </w:rPr>
        <w:t xml:space="preserve">derata come un segnale di crisi e, quindi, una circostanza ricompresa nel perimetro di applicazione dello strumento normativo “emergenziale” di che trattasi, la cui precipua finalità risulta essere il sostegno alle imprese portuali rispetto alla riduzione </w:t>
      </w:r>
      <w:r>
        <w:rPr>
          <w:rFonts w:ascii="Garamond" w:eastAsia="Times New Roman" w:hAnsi="Garamond"/>
          <w:i/>
          <w:iCs/>
          <w:color w:val="000000"/>
          <w:kern w:val="0"/>
          <w:sz w:val="30"/>
          <w:szCs w:val="30"/>
          <w:lang w:eastAsia="it-IT"/>
        </w:rPr>
        <w:t>dell’attività lavorativa e al mutato contesto economico causati dalla perdurante situazione pandemica</w:t>
      </w:r>
      <w:r>
        <w:rPr>
          <w:rFonts w:ascii="Garamond" w:eastAsia="Times New Roman" w:hAnsi="Garamond"/>
          <w:color w:val="000000"/>
          <w:kern w:val="0"/>
          <w:sz w:val="30"/>
          <w:szCs w:val="30"/>
          <w:lang w:eastAsia="it-IT"/>
        </w:rPr>
        <w:t>”;</w:t>
      </w:r>
    </w:p>
    <w:p w14:paraId="2A899B72" w14:textId="77777777" w:rsidR="00491DEC" w:rsidRDefault="005229DF">
      <w:pPr>
        <w:spacing w:after="0" w:line="520" w:lineRule="atLeast"/>
        <w:jc w:val="both"/>
      </w:pPr>
      <w:r>
        <w:rPr>
          <w:rFonts w:ascii="Garamond" w:eastAsia="Times New Roman" w:hAnsi="Garamond"/>
          <w:color w:val="000000"/>
          <w:kern w:val="0"/>
          <w:sz w:val="30"/>
          <w:szCs w:val="30"/>
          <w:lang w:eastAsia="it-IT"/>
        </w:rPr>
        <w:t>- il Ministero, con nota del 10 marzo 2022, avallando l’interpretazione fornita dall’Ente portuale, aveva dichiarato: “</w:t>
      </w:r>
      <w:r>
        <w:rPr>
          <w:rFonts w:ascii="Garamond" w:eastAsia="Times New Roman" w:hAnsi="Garamond"/>
          <w:i/>
          <w:iCs/>
          <w:color w:val="000000"/>
          <w:kern w:val="0"/>
          <w:sz w:val="30"/>
          <w:szCs w:val="30"/>
          <w:lang w:eastAsia="it-IT"/>
        </w:rPr>
        <w:t>Con riferimento alla nota prot. n</w:t>
      </w:r>
      <w:r>
        <w:rPr>
          <w:rFonts w:ascii="Garamond" w:eastAsia="Times New Roman" w:hAnsi="Garamond"/>
          <w:i/>
          <w:iCs/>
          <w:color w:val="000000"/>
          <w:kern w:val="0"/>
          <w:sz w:val="30"/>
          <w:szCs w:val="30"/>
          <w:lang w:eastAsia="it-IT"/>
        </w:rPr>
        <w:t>.15848 del 07.03.2022, relativa all’oggetto, si condividono le valutazioni espresse da codesta Autorità in merito alla finalità del contributo in questione e alla determinazione dello stesso</w:t>
      </w:r>
      <w:r>
        <w:rPr>
          <w:rFonts w:ascii="Garamond" w:eastAsia="Times New Roman" w:hAnsi="Garamond"/>
          <w:color w:val="000000"/>
          <w:kern w:val="0"/>
          <w:sz w:val="30"/>
          <w:szCs w:val="30"/>
          <w:lang w:eastAsia="it-IT"/>
        </w:rPr>
        <w:t>”;</w:t>
      </w:r>
    </w:p>
    <w:p w14:paraId="7C1D2AD8" w14:textId="77777777" w:rsidR="00491DEC" w:rsidRDefault="005229DF">
      <w:pPr>
        <w:spacing w:after="0" w:line="520" w:lineRule="atLeast"/>
        <w:jc w:val="both"/>
      </w:pPr>
      <w:r>
        <w:rPr>
          <w:rFonts w:ascii="Garamond" w:eastAsia="Times New Roman" w:hAnsi="Garamond"/>
          <w:color w:val="000000"/>
          <w:kern w:val="0"/>
          <w:sz w:val="30"/>
          <w:szCs w:val="30"/>
          <w:lang w:eastAsia="it-IT"/>
        </w:rPr>
        <w:t>- tale interpretazione non è dunque condivisa dalla ricorrente,</w:t>
      </w:r>
      <w:r>
        <w:rPr>
          <w:rFonts w:ascii="Garamond" w:eastAsia="Times New Roman" w:hAnsi="Garamond"/>
          <w:color w:val="000000"/>
          <w:kern w:val="0"/>
          <w:sz w:val="30"/>
          <w:szCs w:val="30"/>
          <w:lang w:eastAsia="it-IT"/>
        </w:rPr>
        <w:t xml:space="preserve"> la quale, </w:t>
      </w:r>
      <w:r>
        <w:rPr>
          <w:rFonts w:ascii="Garamond" w:eastAsia="Times New Roman" w:hAnsi="Garamond"/>
          <w:i/>
          <w:iCs/>
          <w:color w:val="000000"/>
          <w:kern w:val="0"/>
          <w:sz w:val="30"/>
          <w:szCs w:val="30"/>
          <w:lang w:eastAsia="it-IT"/>
        </w:rPr>
        <w:t>con il primo motivo</w:t>
      </w:r>
      <w:r>
        <w:rPr>
          <w:rFonts w:ascii="Garamond" w:eastAsia="Times New Roman" w:hAnsi="Garamond"/>
          <w:color w:val="000000"/>
          <w:kern w:val="0"/>
          <w:sz w:val="30"/>
          <w:szCs w:val="30"/>
          <w:lang w:eastAsia="it-IT"/>
        </w:rPr>
        <w:t>, ha denunciato la violazione dell’art. 199 del d.l. n. 34 del 2020, nonché l’eccesso di potere per travisamento ed ingiustizia manifesta, sostenendo che la </w:t>
      </w:r>
      <w:r>
        <w:rPr>
          <w:rFonts w:ascii="Garamond" w:eastAsia="Times New Roman" w:hAnsi="Garamond"/>
          <w:i/>
          <w:iCs/>
          <w:color w:val="000000"/>
          <w:kern w:val="0"/>
          <w:sz w:val="30"/>
          <w:szCs w:val="30"/>
          <w:lang w:eastAsia="it-IT"/>
        </w:rPr>
        <w:t>ratio</w:t>
      </w:r>
      <w:r>
        <w:rPr>
          <w:rFonts w:ascii="Garamond" w:eastAsia="Times New Roman" w:hAnsi="Garamond"/>
          <w:color w:val="000000"/>
          <w:kern w:val="0"/>
          <w:sz w:val="30"/>
          <w:szCs w:val="30"/>
          <w:lang w:eastAsia="it-IT"/>
        </w:rPr>
        <w:t> della misura emergenziale introdotta dall’art. 199, 1°comma, le</w:t>
      </w:r>
      <w:r>
        <w:rPr>
          <w:rFonts w:ascii="Garamond" w:eastAsia="Times New Roman" w:hAnsi="Garamond"/>
          <w:color w:val="000000"/>
          <w:kern w:val="0"/>
          <w:sz w:val="30"/>
          <w:szCs w:val="30"/>
          <w:lang w:eastAsia="it-IT"/>
        </w:rPr>
        <w:t>tt. b), secondo periodo, del d.l. n. 34 del 2020, non sia quella “</w:t>
      </w:r>
      <w:r>
        <w:rPr>
          <w:rFonts w:ascii="Garamond" w:eastAsia="Times New Roman" w:hAnsi="Garamond"/>
          <w:i/>
          <w:iCs/>
          <w:color w:val="000000"/>
          <w:kern w:val="0"/>
          <w:sz w:val="30"/>
          <w:szCs w:val="30"/>
          <w:lang w:eastAsia="it-IT"/>
        </w:rPr>
        <w:t>di tutelare gli operatori portuali autorizzati</w:t>
      </w:r>
      <w:r>
        <w:rPr>
          <w:rFonts w:ascii="Garamond" w:eastAsia="Times New Roman" w:hAnsi="Garamond"/>
          <w:color w:val="000000"/>
          <w:kern w:val="0"/>
          <w:sz w:val="30"/>
          <w:szCs w:val="30"/>
          <w:lang w:eastAsia="it-IT"/>
        </w:rPr>
        <w:t>” - ovvero le imprese autorizzate ai sensi dell’art. 16 legge n. 84 del 1994 - bensì quella di garantire “</w:t>
      </w:r>
      <w:r>
        <w:rPr>
          <w:rFonts w:ascii="Garamond" w:eastAsia="Times New Roman" w:hAnsi="Garamond"/>
          <w:i/>
          <w:iCs/>
          <w:color w:val="000000"/>
          <w:kern w:val="0"/>
          <w:sz w:val="30"/>
          <w:szCs w:val="30"/>
          <w:lang w:eastAsia="it-IT"/>
        </w:rPr>
        <w:t>la continuità della fornitura delle pr</w:t>
      </w:r>
      <w:r>
        <w:rPr>
          <w:rFonts w:ascii="Garamond" w:eastAsia="Times New Roman" w:hAnsi="Garamond"/>
          <w:i/>
          <w:iCs/>
          <w:color w:val="000000"/>
          <w:kern w:val="0"/>
          <w:sz w:val="30"/>
          <w:szCs w:val="30"/>
          <w:lang w:eastAsia="it-IT"/>
        </w:rPr>
        <w:t>estazioni oggetto del contratto da questi stipulati con i concessionari del porto</w:t>
      </w:r>
      <w:r>
        <w:rPr>
          <w:rFonts w:ascii="Garamond" w:eastAsia="Times New Roman" w:hAnsi="Garamond"/>
          <w:color w:val="000000"/>
          <w:kern w:val="0"/>
          <w:sz w:val="30"/>
          <w:szCs w:val="30"/>
          <w:lang w:eastAsia="it-IT"/>
        </w:rPr>
        <w:t>”; non si potrebbe allora non concludere che il contributo “</w:t>
      </w:r>
      <w:r>
        <w:rPr>
          <w:rFonts w:ascii="Garamond" w:eastAsia="Times New Roman" w:hAnsi="Garamond"/>
          <w:i/>
          <w:iCs/>
          <w:color w:val="000000"/>
          <w:kern w:val="0"/>
          <w:sz w:val="30"/>
          <w:szCs w:val="30"/>
          <w:lang w:eastAsia="it-IT"/>
        </w:rPr>
        <w:t>sia da erogare per i soli turni di lavoro prestati in meno, rispetto al 2019, dai dipendenti che, al giorno del suo</w:t>
      </w:r>
      <w:r>
        <w:rPr>
          <w:rFonts w:ascii="Garamond" w:eastAsia="Times New Roman" w:hAnsi="Garamond"/>
          <w:i/>
          <w:iCs/>
          <w:color w:val="000000"/>
          <w:kern w:val="0"/>
          <w:sz w:val="30"/>
          <w:szCs w:val="30"/>
          <w:lang w:eastAsia="it-IT"/>
        </w:rPr>
        <w:t xml:space="preserve"> riconoscimento, ancora fanno parte dell’impresa beneficiaria</w:t>
      </w:r>
      <w:r>
        <w:rPr>
          <w:rFonts w:ascii="Garamond" w:eastAsia="Times New Roman" w:hAnsi="Garamond"/>
          <w:color w:val="000000"/>
          <w:kern w:val="0"/>
          <w:sz w:val="30"/>
          <w:szCs w:val="30"/>
          <w:lang w:eastAsia="it-IT"/>
        </w:rPr>
        <w:t xml:space="preserve">”; la legge avrebbe </w:t>
      </w:r>
      <w:r>
        <w:rPr>
          <w:rFonts w:ascii="Garamond" w:eastAsia="Times New Roman" w:hAnsi="Garamond"/>
          <w:color w:val="000000"/>
          <w:kern w:val="0"/>
          <w:sz w:val="30"/>
          <w:szCs w:val="30"/>
          <w:lang w:eastAsia="it-IT"/>
        </w:rPr>
        <w:lastRenderedPageBreak/>
        <w:t xml:space="preserve">quindi individuato un meccanismo economico di tipo compensativo finalizzato a garantire il mantenimento della forza lavoro e la piena operatività delle imprese che forniscono </w:t>
      </w:r>
      <w:r>
        <w:rPr>
          <w:rFonts w:ascii="Garamond" w:eastAsia="Times New Roman" w:hAnsi="Garamond"/>
          <w:color w:val="000000"/>
          <w:kern w:val="0"/>
          <w:sz w:val="30"/>
          <w:szCs w:val="30"/>
          <w:lang w:eastAsia="it-IT"/>
        </w:rPr>
        <w:t>prestazioni in favore dei concessionari ex art. 18 l. n. 84 del 1994. Pertanto, tale tipo di contributo potrebbe essere accordato solo a chi, per i motivi individuati dal legislatore, mantiene alle sue dipendenze i lavoratori non più necessari a causa dell</w:t>
      </w:r>
      <w:r>
        <w:rPr>
          <w:rFonts w:ascii="Garamond" w:eastAsia="Times New Roman" w:hAnsi="Garamond"/>
          <w:color w:val="000000"/>
          <w:kern w:val="0"/>
          <w:sz w:val="30"/>
          <w:szCs w:val="30"/>
          <w:lang w:eastAsia="it-IT"/>
        </w:rPr>
        <w:t>’atrofia del mercato; viceversa, Uniport a partire dal 2020, avrebbe ridotto il suo personale (omettendo di rinnovare contratti a tempo determinato), essa quindi verrebbe finanziata dall’ AdSP per il solo fatto di avere un numero minore di dipendenti e, pe</w:t>
      </w:r>
      <w:r>
        <w:rPr>
          <w:rFonts w:ascii="Garamond" w:eastAsia="Times New Roman" w:hAnsi="Garamond"/>
          <w:color w:val="000000"/>
          <w:kern w:val="0"/>
          <w:sz w:val="30"/>
          <w:szCs w:val="30"/>
          <w:lang w:eastAsia="it-IT"/>
        </w:rPr>
        <w:t>r questo, un numero inferiore di turni prestati;</w:t>
      </w:r>
    </w:p>
    <w:p w14:paraId="060196C9" w14:textId="77777777" w:rsidR="00491DEC" w:rsidRDefault="005229DF">
      <w:pPr>
        <w:spacing w:after="0" w:line="520" w:lineRule="atLeast"/>
        <w:jc w:val="both"/>
      </w:pPr>
      <w:r>
        <w:rPr>
          <w:rFonts w:ascii="Garamond" w:eastAsia="Times New Roman" w:hAnsi="Garamond"/>
          <w:color w:val="000000"/>
          <w:kern w:val="0"/>
          <w:sz w:val="30"/>
          <w:szCs w:val="30"/>
          <w:lang w:eastAsia="it-IT"/>
        </w:rPr>
        <w:t>-</w:t>
      </w:r>
      <w:r>
        <w:rPr>
          <w:rFonts w:ascii="Garamond" w:eastAsia="Times New Roman" w:hAnsi="Garamond"/>
          <w:i/>
          <w:iCs/>
          <w:color w:val="000000"/>
          <w:kern w:val="0"/>
          <w:sz w:val="30"/>
          <w:szCs w:val="30"/>
          <w:lang w:eastAsia="it-IT"/>
        </w:rPr>
        <w:t> con il secondo motivo </w:t>
      </w:r>
      <w:r>
        <w:rPr>
          <w:rFonts w:ascii="Garamond" w:eastAsia="Times New Roman" w:hAnsi="Garamond"/>
          <w:color w:val="000000"/>
          <w:kern w:val="0"/>
          <w:sz w:val="30"/>
          <w:szCs w:val="30"/>
          <w:lang w:eastAsia="it-IT"/>
        </w:rPr>
        <w:t xml:space="preserve">di ricorso Seatrag ha censurato le argomentazioni svolte dall’AdSP nella nota del 7 marzo 2022 e la risposta adesiva del Ministero, evidenziando in particolare come il </w:t>
      </w:r>
      <w:r>
        <w:rPr>
          <w:rFonts w:ascii="Garamond" w:eastAsia="Times New Roman" w:hAnsi="Garamond"/>
          <w:color w:val="000000"/>
          <w:kern w:val="0"/>
          <w:sz w:val="30"/>
          <w:szCs w:val="30"/>
          <w:lang w:eastAsia="it-IT"/>
        </w:rPr>
        <w:t>contributo in commento, nelle intenzioni del legislatore, non sia collegato a una crisi aziendale (eventualmente testimoniata dalla riorganizzazione o riduzione della forza lavoro), essendo dovuto e commisurato al minor numero dei turni prestati dai dipend</w:t>
      </w:r>
      <w:r>
        <w:rPr>
          <w:rFonts w:ascii="Garamond" w:eastAsia="Times New Roman" w:hAnsi="Garamond"/>
          <w:color w:val="000000"/>
          <w:kern w:val="0"/>
          <w:sz w:val="30"/>
          <w:szCs w:val="30"/>
          <w:lang w:eastAsia="it-IT"/>
        </w:rPr>
        <w:t>enti dell’impresa portuale, e non all’andamento economico di quest’ultima;</w:t>
      </w:r>
    </w:p>
    <w:p w14:paraId="0602494E" w14:textId="77777777" w:rsidR="00491DEC" w:rsidRDefault="005229DF">
      <w:pPr>
        <w:spacing w:after="0" w:line="520" w:lineRule="atLeast"/>
        <w:jc w:val="both"/>
      </w:pPr>
      <w:r>
        <w:rPr>
          <w:rFonts w:ascii="Garamond" w:eastAsia="Times New Roman" w:hAnsi="Garamond"/>
          <w:color w:val="000000"/>
          <w:kern w:val="0"/>
          <w:sz w:val="30"/>
          <w:szCs w:val="30"/>
          <w:lang w:eastAsia="it-IT"/>
        </w:rPr>
        <w:t>- </w:t>
      </w:r>
      <w:r>
        <w:rPr>
          <w:rFonts w:ascii="Garamond" w:eastAsia="Times New Roman" w:hAnsi="Garamond"/>
          <w:i/>
          <w:iCs/>
          <w:color w:val="000000"/>
          <w:kern w:val="0"/>
          <w:sz w:val="30"/>
          <w:szCs w:val="30"/>
          <w:lang w:eastAsia="it-IT"/>
        </w:rPr>
        <w:t>con il terzo motivo</w:t>
      </w:r>
      <w:r>
        <w:rPr>
          <w:rFonts w:ascii="Garamond" w:eastAsia="Times New Roman" w:hAnsi="Garamond"/>
          <w:color w:val="000000"/>
          <w:kern w:val="0"/>
          <w:sz w:val="30"/>
          <w:szCs w:val="30"/>
          <w:lang w:eastAsia="it-IT"/>
        </w:rPr>
        <w:t> la ricorrente ha dedotto in subordine la violazione degli artt. 107 e 108 del Trattato sul Funzionamento dell’Unione Europea, in quanto il contributo, se intes</w:t>
      </w:r>
      <w:r>
        <w:rPr>
          <w:rFonts w:ascii="Garamond" w:eastAsia="Times New Roman" w:hAnsi="Garamond"/>
          <w:color w:val="000000"/>
          <w:kern w:val="0"/>
          <w:sz w:val="30"/>
          <w:szCs w:val="30"/>
          <w:lang w:eastAsia="it-IT"/>
        </w:rPr>
        <w:t>o come una misura volta a fornire un vantaggio economico diretto sulla base di un presupposto diverso dalla tutela della integrità della forza lavoro, configurerebbe una forma di aiuto pubblico, in violazione dell’art. 107 e del procedimento di cui all’art</w:t>
      </w:r>
      <w:r>
        <w:rPr>
          <w:rFonts w:ascii="Garamond" w:eastAsia="Times New Roman" w:hAnsi="Garamond"/>
          <w:color w:val="000000"/>
          <w:kern w:val="0"/>
          <w:sz w:val="30"/>
          <w:szCs w:val="30"/>
          <w:lang w:eastAsia="it-IT"/>
        </w:rPr>
        <w:t>. 108 del TFUE;</w:t>
      </w:r>
    </w:p>
    <w:p w14:paraId="20C2F63A" w14:textId="77777777" w:rsidR="00491DEC" w:rsidRDefault="005229DF">
      <w:pPr>
        <w:spacing w:after="0" w:line="520" w:lineRule="atLeast"/>
        <w:jc w:val="both"/>
      </w:pPr>
      <w:r>
        <w:rPr>
          <w:rFonts w:ascii="Garamond" w:eastAsia="Times New Roman" w:hAnsi="Garamond"/>
          <w:color w:val="000000"/>
          <w:kern w:val="0"/>
          <w:sz w:val="30"/>
          <w:szCs w:val="30"/>
          <w:lang w:eastAsia="it-IT"/>
        </w:rPr>
        <w:t>- con motivi aggiunti depositati il 13 gennaio 2025 la ricorrente ha impugnato gli ulteriori provvedimenti di erogazione relativi ai contributi per il periodo aprile-settembre 2024, e ciò riproponendo i motivi del ricorso principale, con l’</w:t>
      </w:r>
      <w:r>
        <w:rPr>
          <w:rFonts w:ascii="Garamond" w:eastAsia="Times New Roman" w:hAnsi="Garamond"/>
          <w:color w:val="000000"/>
          <w:kern w:val="0"/>
          <w:sz w:val="30"/>
          <w:szCs w:val="30"/>
          <w:lang w:eastAsia="it-IT"/>
        </w:rPr>
        <w:t>aggiunta di </w:t>
      </w:r>
      <w:r>
        <w:rPr>
          <w:rFonts w:ascii="Garamond" w:eastAsia="Times New Roman" w:hAnsi="Garamond"/>
          <w:i/>
          <w:iCs/>
          <w:color w:val="000000"/>
          <w:kern w:val="0"/>
          <w:sz w:val="30"/>
          <w:szCs w:val="30"/>
          <w:lang w:eastAsia="it-IT"/>
        </w:rPr>
        <w:t>un quarto motivo</w:t>
      </w:r>
      <w:r>
        <w:rPr>
          <w:rFonts w:ascii="Garamond" w:eastAsia="Times New Roman" w:hAnsi="Garamond"/>
          <w:color w:val="000000"/>
          <w:kern w:val="0"/>
          <w:sz w:val="30"/>
          <w:szCs w:val="30"/>
          <w:lang w:eastAsia="it-IT"/>
        </w:rPr>
        <w:t>, con il quale ha rappresentato un ulteriore profilo di asserita violazione di legge ed eccesso di potere per difetto d’istruttoria. In particolare, secondo la ricorrente, qualora AdSP avesse voluto (benché illegittimamente) ind</w:t>
      </w:r>
      <w:r>
        <w:rPr>
          <w:rFonts w:ascii="Garamond" w:eastAsia="Times New Roman" w:hAnsi="Garamond"/>
          <w:color w:val="000000"/>
          <w:kern w:val="0"/>
          <w:sz w:val="30"/>
          <w:szCs w:val="30"/>
          <w:lang w:eastAsia="it-IT"/>
        </w:rPr>
        <w:t>ennizzare Uniport in quanto “impresa in difficoltà” attraverso il contributo di cui all’art. 199 del d.l. n. 34 del 2020, essa non avrebbe comunque potuto limitarsi a rilevare tale presunta crisi attraverso il rapporto tra i turni lavorati dai suoi dipende</w:t>
      </w:r>
      <w:r>
        <w:rPr>
          <w:rFonts w:ascii="Garamond" w:eastAsia="Times New Roman" w:hAnsi="Garamond"/>
          <w:color w:val="000000"/>
          <w:kern w:val="0"/>
          <w:sz w:val="30"/>
          <w:szCs w:val="30"/>
          <w:lang w:eastAsia="it-IT"/>
        </w:rPr>
        <w:t>nti nel 2019 e quelli lavorati nel 2024, ma avrebbe dovuto prendere in esame anche l’effettiva situazione finanziaria dell’impresa, come ricavabile dai bilanci societari, i quali tuttavia farebbero emergere un incremento dei ricavi nel periodo considerato.</w:t>
      </w:r>
    </w:p>
    <w:p w14:paraId="726CCE15"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1.2. Il Tribunale -dato atto della costituzione in giudizio dell’AdSP e della Uniport Livorno società cooperativaa a r.l.- ha ritenuto fondata l’eccezione preliminare di inammissibilità del ricorso per carenza di interesse ad agire in capo alla Seatrag.</w:t>
      </w:r>
    </w:p>
    <w:p w14:paraId="532AF29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1</w:t>
      </w:r>
      <w:r>
        <w:rPr>
          <w:rFonts w:ascii="Garamond" w:eastAsia="Times New Roman" w:hAnsi="Garamond"/>
          <w:color w:val="000000"/>
          <w:kern w:val="0"/>
          <w:sz w:val="30"/>
          <w:szCs w:val="30"/>
          <w:lang w:eastAsia="it-IT"/>
        </w:rPr>
        <w:t>.3. Nondimeno, ritenendo il ricorso infondato anche nel merito, ha esaminato e respinto i singoli motivi di gravame, con la motivazione di cui si dirà.</w:t>
      </w:r>
    </w:p>
    <w:p w14:paraId="31AA5BF6"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1.4. Le spese processuali sono state compensate fra tutte le parti.</w:t>
      </w:r>
    </w:p>
    <w:p w14:paraId="6F96A78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2. La Seatrag Autostrade del Mare s.</w:t>
      </w:r>
      <w:r>
        <w:rPr>
          <w:rFonts w:ascii="Garamond" w:eastAsia="Times New Roman" w:hAnsi="Garamond"/>
          <w:color w:val="000000"/>
          <w:kern w:val="0"/>
          <w:sz w:val="30"/>
          <w:szCs w:val="30"/>
          <w:lang w:eastAsia="it-IT"/>
        </w:rPr>
        <w:t>r.l. ha proposto appello con due motivi.</w:t>
      </w:r>
    </w:p>
    <w:p w14:paraId="01A705D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L’Autorità Sistema Portuale del Mar Tirreno Settentrionale e il Ministero delle Infrastrutture e dei Trasporti – Dipartimento per la mobilità sostenibile, nonché la Uniport Livorno Società Cooperativa s.r.l. si sono</w:t>
      </w:r>
      <w:r>
        <w:rPr>
          <w:rFonts w:ascii="Garamond" w:eastAsia="Times New Roman" w:hAnsi="Garamond"/>
          <w:color w:val="000000"/>
          <w:kern w:val="0"/>
          <w:sz w:val="30"/>
          <w:szCs w:val="30"/>
          <w:lang w:eastAsia="it-IT"/>
        </w:rPr>
        <w:t xml:space="preserve"> costituiti per resistere all’appello.</w:t>
      </w:r>
    </w:p>
    <w:p w14:paraId="7F97204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2.1. All’udienza del 26 marzo 2026, la causa è stata assegnata a sentenza, previo deposito di memorie e repliche.</w:t>
      </w:r>
    </w:p>
    <w:p w14:paraId="63BE3F9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3. Col primo motivo è censurata la statuizione di carenza di interesse della Seatrag, che il </w:t>
      </w:r>
      <w:r>
        <w:rPr>
          <w:rFonts w:ascii="Garamond" w:eastAsia="Times New Roman" w:hAnsi="Garamond"/>
          <w:color w:val="000000"/>
          <w:kern w:val="0"/>
          <w:sz w:val="30"/>
          <w:szCs w:val="30"/>
          <w:lang w:eastAsia="it-IT"/>
        </w:rPr>
        <w:t>giudice di primo grado ha motivato come segue:</w:t>
      </w:r>
    </w:p>
    <w:p w14:paraId="1499D27B" w14:textId="77777777" w:rsidR="00491DEC" w:rsidRDefault="005229DF">
      <w:pPr>
        <w:spacing w:after="0" w:line="520" w:lineRule="atLeast"/>
        <w:jc w:val="both"/>
      </w:pPr>
      <w:r>
        <w:rPr>
          <w:rFonts w:ascii="Garamond" w:eastAsia="Times New Roman" w:hAnsi="Garamond"/>
          <w:color w:val="000000"/>
          <w:kern w:val="0"/>
          <w:sz w:val="30"/>
          <w:szCs w:val="30"/>
          <w:lang w:eastAsia="it-IT"/>
        </w:rPr>
        <w:t>&lt;&lt;</w:t>
      </w:r>
      <w:r>
        <w:rPr>
          <w:rFonts w:ascii="Garamond" w:eastAsia="Times New Roman" w:hAnsi="Garamond"/>
          <w:i/>
          <w:iCs/>
          <w:color w:val="000000"/>
          <w:kern w:val="0"/>
          <w:sz w:val="30"/>
          <w:szCs w:val="30"/>
          <w:lang w:eastAsia="it-IT"/>
        </w:rPr>
        <w:t>la Seatrag, da un lato, non potrebbe ricavare alcun vantaggio dall’annullamento dei provvedimenti che hanno riconosciuto i contributi in favore di Uniport, rimanendo fermo e incontestato che la ricorrente no</w:t>
      </w:r>
      <w:r>
        <w:rPr>
          <w:rFonts w:ascii="Garamond" w:eastAsia="Times New Roman" w:hAnsi="Garamond"/>
          <w:i/>
          <w:iCs/>
          <w:color w:val="000000"/>
          <w:kern w:val="0"/>
          <w:sz w:val="30"/>
          <w:szCs w:val="30"/>
          <w:lang w:eastAsia="it-IT"/>
        </w:rPr>
        <w:t>n ne aveva diritto; dall’altro lato la medesima Seatrag non può ricevere alcun effettivo danno alla sua attività d’impresa dal conseguimento dei contributi in questione in capo alla Uniport, la quale ultima non ha, a causa di ciò, acquisito quote di mercat</w:t>
      </w:r>
      <w:r>
        <w:rPr>
          <w:rFonts w:ascii="Garamond" w:eastAsia="Times New Roman" w:hAnsi="Garamond"/>
          <w:i/>
          <w:iCs/>
          <w:color w:val="000000"/>
          <w:kern w:val="0"/>
          <w:sz w:val="30"/>
          <w:szCs w:val="30"/>
          <w:lang w:eastAsia="it-IT"/>
        </w:rPr>
        <w:t>o in danno della prima (avendo piuttosto ridotto la sua attività), né viene lamentato, e comunque non risulta, che la Uniport abbia potuto compiere pratiche distorsive della concorrenza grazie all’utilizzo dei contributi erogati. E’ allora evidente che l’i</w:t>
      </w:r>
      <w:r>
        <w:rPr>
          <w:rFonts w:ascii="Garamond" w:eastAsia="Times New Roman" w:hAnsi="Garamond"/>
          <w:i/>
          <w:iCs/>
          <w:color w:val="000000"/>
          <w:kern w:val="0"/>
          <w:sz w:val="30"/>
          <w:szCs w:val="30"/>
          <w:lang w:eastAsia="it-IT"/>
        </w:rPr>
        <w:t>nteresse della parte ricorrente, solo indirettamente riguarda profili afferenti le dinamiche concorrenziali, mentre sostanzialmente si riduce ad una pretesa di penalizzazione dell’impresa concorrente, basata sulla contestazione della regolarità della gesti</w:t>
      </w:r>
      <w:r>
        <w:rPr>
          <w:rFonts w:ascii="Garamond" w:eastAsia="Times New Roman" w:hAnsi="Garamond"/>
          <w:i/>
          <w:iCs/>
          <w:color w:val="000000"/>
          <w:kern w:val="0"/>
          <w:sz w:val="30"/>
          <w:szCs w:val="30"/>
          <w:lang w:eastAsia="it-IT"/>
        </w:rPr>
        <w:t>one interna della Uniport e dei rapporti di questa con la P.A., che allo stesso modo potrebbe appuntarsi su qualunque altro aspetto afferente la conformità delle attività aziendali della Uniport alle disposizioni normative (come ad esempio la regolarità di</w:t>
      </w:r>
      <w:r>
        <w:rPr>
          <w:rFonts w:ascii="Garamond" w:eastAsia="Times New Roman" w:hAnsi="Garamond"/>
          <w:i/>
          <w:iCs/>
          <w:color w:val="000000"/>
          <w:kern w:val="0"/>
          <w:sz w:val="30"/>
          <w:szCs w:val="30"/>
          <w:lang w:eastAsia="it-IT"/>
        </w:rPr>
        <w:t xml:space="preserve"> un qualsiasi altro finanziamento odi titoli autorizzativi o finanche il rispetto degli obblighi fiscali e contributivi) e ciò solo perché nel perpetrare tali irregolarità la Uniport potrebbe trarne un vantaggio competitivo.</w:t>
      </w:r>
      <w:r>
        <w:rPr>
          <w:rFonts w:ascii="Garamond" w:eastAsia="Times New Roman" w:hAnsi="Garamond"/>
          <w:color w:val="000000"/>
          <w:kern w:val="0"/>
          <w:sz w:val="30"/>
          <w:szCs w:val="30"/>
          <w:lang w:eastAsia="it-IT"/>
        </w:rPr>
        <w:t>&gt;&gt;.</w:t>
      </w:r>
    </w:p>
    <w:p w14:paraId="6C2C779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3.1. Per contro, l’appellant</w:t>
      </w:r>
      <w:r>
        <w:rPr>
          <w:rFonts w:ascii="Garamond" w:eastAsia="Times New Roman" w:hAnsi="Garamond"/>
          <w:color w:val="000000"/>
          <w:kern w:val="0"/>
          <w:sz w:val="30"/>
          <w:szCs w:val="30"/>
          <w:lang w:eastAsia="it-IT"/>
        </w:rPr>
        <w:t>e osserva che il suo intento non è quello di danneggiare Uniport, bensì di impedire che un diretto concorrente venga avvantaggiato economicamente da provvedimenti illegittimi.</w:t>
      </w:r>
    </w:p>
    <w:p w14:paraId="00F5FEC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In proposito, pone in rilievo i seguenti elementi di fatto:</w:t>
      </w:r>
    </w:p>
    <w:p w14:paraId="783C076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a) Seatrag e Uniport</w:t>
      </w:r>
      <w:r>
        <w:rPr>
          <w:rFonts w:ascii="Garamond" w:eastAsia="Times New Roman" w:hAnsi="Garamond"/>
          <w:color w:val="000000"/>
          <w:kern w:val="0"/>
          <w:sz w:val="30"/>
          <w:szCs w:val="30"/>
          <w:lang w:eastAsia="it-IT"/>
        </w:rPr>
        <w:t xml:space="preserve"> sono due imprese autorizzate a svolgere operazioni portuali ex art. 16 della legge n. 84/1994 nel porto di Livorno; dunque svolgono la stessa attività (e solo quella) nello stesso ambito portuale anche con gli stessi fornitori (Grimaldi Lines);</w:t>
      </w:r>
    </w:p>
    <w:p w14:paraId="31F52F4C"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b) dato ch</w:t>
      </w:r>
      <w:r>
        <w:rPr>
          <w:rFonts w:ascii="Garamond" w:eastAsia="Times New Roman" w:hAnsi="Garamond"/>
          <w:color w:val="000000"/>
          <w:kern w:val="0"/>
          <w:sz w:val="30"/>
          <w:szCs w:val="30"/>
          <w:lang w:eastAsia="it-IT"/>
        </w:rPr>
        <w:t>e nel porto di Livorno esistono (e esistevano all’epoca dei fatti) solo tre società autorizzate a svolgere dette operazioni portuali, il rapporto tra le due parti in causa è di diretta e strettissima concorrenza;</w:t>
      </w:r>
    </w:p>
    <w:p w14:paraId="2624480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c) dal 2020 al 2023 è stato versato ad Unip</w:t>
      </w:r>
      <w:r>
        <w:rPr>
          <w:rFonts w:ascii="Garamond" w:eastAsia="Times New Roman" w:hAnsi="Garamond"/>
          <w:color w:val="000000"/>
          <w:kern w:val="0"/>
          <w:sz w:val="30"/>
          <w:szCs w:val="30"/>
          <w:lang w:eastAsia="it-IT"/>
        </w:rPr>
        <w:t>ort per il titolo contestato l’importo di € 3.663.824, superiore, per il 2023, al 10% del suo fatturato;</w:t>
      </w:r>
    </w:p>
    <w:p w14:paraId="58ED2BE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d) nei vari esercizi, il bilancio di Uniport è stato ripianato grazi al contributo di cui si discute (come nel 2021, nel quale avrebbe chiuso con una p</w:t>
      </w:r>
      <w:r>
        <w:rPr>
          <w:rFonts w:ascii="Garamond" w:eastAsia="Times New Roman" w:hAnsi="Garamond"/>
          <w:color w:val="000000"/>
          <w:kern w:val="0"/>
          <w:sz w:val="30"/>
          <w:szCs w:val="30"/>
          <w:lang w:eastAsia="it-IT"/>
        </w:rPr>
        <w:t>erdita di esercizio di circa 1.150.000 e un patrimonio negativo di quasi un milione).</w:t>
      </w:r>
    </w:p>
    <w:p w14:paraId="1DBB4A6A"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Dati i suddetti elementi, l’appellante sottolinea come l’attribuzione del contributo abbia conferito ad Uniport un vantaggio anticoncorrenziale; di qui l’interesse della </w:t>
      </w:r>
      <w:r>
        <w:rPr>
          <w:rFonts w:ascii="Garamond" w:eastAsia="Times New Roman" w:hAnsi="Garamond"/>
          <w:color w:val="000000"/>
          <w:kern w:val="0"/>
          <w:sz w:val="30"/>
          <w:szCs w:val="30"/>
          <w:lang w:eastAsia="it-IT"/>
        </w:rPr>
        <w:t>ricorrente, di carattere oppositivo, volto ad eliminare provvedimenti amministrativi che, da un lato, attribuiscono un indebito vantaggio ad un’impresa diretta concorrente e, dall’altro, consentono a questa di operare erodendo, a danno della prima, i ricav</w:t>
      </w:r>
      <w:r>
        <w:rPr>
          <w:rFonts w:ascii="Garamond" w:eastAsia="Times New Roman" w:hAnsi="Garamond"/>
          <w:color w:val="000000"/>
          <w:kern w:val="0"/>
          <w:sz w:val="30"/>
          <w:szCs w:val="30"/>
          <w:lang w:eastAsia="it-IT"/>
        </w:rPr>
        <w:t>i che il mercato di riferimento può generare.</w:t>
      </w:r>
    </w:p>
    <w:p w14:paraId="35228F2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3.1.1. Il motivo è fondato.</w:t>
      </w:r>
    </w:p>
    <w:p w14:paraId="09DA0843" w14:textId="77777777" w:rsidR="00491DEC" w:rsidRDefault="005229DF">
      <w:pPr>
        <w:spacing w:after="0" w:line="520" w:lineRule="atLeast"/>
        <w:jc w:val="both"/>
      </w:pPr>
      <w:r>
        <w:rPr>
          <w:rFonts w:ascii="Garamond" w:eastAsia="Times New Roman" w:hAnsi="Garamond"/>
          <w:color w:val="000000"/>
          <w:kern w:val="0"/>
          <w:sz w:val="30"/>
          <w:szCs w:val="30"/>
          <w:lang w:eastAsia="it-IT"/>
        </w:rPr>
        <w:t>3.2. Va premesso che, in tema di legittimazione ad agire ed interesse a ricorrere nel processo amministrativo, la prima è intesa come titolarità di una situazione soggettiva qualific</w:t>
      </w:r>
      <w:r>
        <w:rPr>
          <w:rFonts w:ascii="Garamond" w:eastAsia="Times New Roman" w:hAnsi="Garamond"/>
          <w:color w:val="000000"/>
          <w:kern w:val="0"/>
          <w:sz w:val="30"/>
          <w:szCs w:val="30"/>
          <w:lang w:eastAsia="it-IT"/>
        </w:rPr>
        <w:t>ata, che vale a distinguere la posizione dell’istante rispetto a quella indifferenziata del </w:t>
      </w:r>
      <w:r>
        <w:rPr>
          <w:rFonts w:ascii="Garamond" w:eastAsia="Times New Roman" w:hAnsi="Garamond"/>
          <w:i/>
          <w:iCs/>
          <w:color w:val="000000"/>
          <w:kern w:val="0"/>
          <w:sz w:val="30"/>
          <w:szCs w:val="30"/>
          <w:lang w:eastAsia="it-IT"/>
        </w:rPr>
        <w:t>quisque de populo</w:t>
      </w:r>
      <w:r>
        <w:rPr>
          <w:rFonts w:ascii="Garamond" w:eastAsia="Times New Roman" w:hAnsi="Garamond"/>
          <w:color w:val="000000"/>
          <w:kern w:val="0"/>
          <w:sz w:val="30"/>
          <w:szCs w:val="30"/>
          <w:lang w:eastAsia="it-IT"/>
        </w:rPr>
        <w:t>, il secondo come vantaggio derivante dall'accoglimento del ricorso ex art. 100 c.p.c., che sorge in conseguenza della lesione attuale di un intere</w:t>
      </w:r>
      <w:r>
        <w:rPr>
          <w:rFonts w:ascii="Garamond" w:eastAsia="Times New Roman" w:hAnsi="Garamond"/>
          <w:color w:val="000000"/>
          <w:kern w:val="0"/>
          <w:sz w:val="30"/>
          <w:szCs w:val="30"/>
          <w:lang w:eastAsia="it-IT"/>
        </w:rPr>
        <w:t>sse sostanziale e che tende ad un provvedimento del giudice idoneo, se favorevole, a rimuovere quella lesione (Cons. Stato, sez. IV, 20.2.2025, n.1743).</w:t>
      </w:r>
    </w:p>
    <w:p w14:paraId="0C7B9DF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3.2.1. Quanto alla prima, la ricorrente è impresa operante nello stesso ambito portuale della controint</w:t>
      </w:r>
      <w:r>
        <w:rPr>
          <w:rFonts w:ascii="Garamond" w:eastAsia="Times New Roman" w:hAnsi="Garamond"/>
          <w:color w:val="000000"/>
          <w:kern w:val="0"/>
          <w:sz w:val="30"/>
          <w:szCs w:val="30"/>
          <w:lang w:eastAsia="it-IT"/>
        </w:rPr>
        <w:t>eressata, nel quale le imprese autorizzate ex art. 16 della legge n. 84/1994 titolari di contratti di appalto rilevanti ai fini dell’erogazione del contributo sono solo tre (in quanto il numero di quattordici, pure indicato in atti, risulta comprendere tut</w:t>
      </w:r>
      <w:r>
        <w:rPr>
          <w:rFonts w:ascii="Garamond" w:eastAsia="Times New Roman" w:hAnsi="Garamond"/>
          <w:color w:val="000000"/>
          <w:kern w:val="0"/>
          <w:sz w:val="30"/>
          <w:szCs w:val="30"/>
          <w:lang w:eastAsia="it-IT"/>
        </w:rPr>
        <w:t>te le imprese autorizzate a svolgere operazioni portuali, inclusi i terminalisti concessionari di aree demaniali ex art. 18 della detta legge).</w:t>
      </w:r>
    </w:p>
    <w:p w14:paraId="7D67422C"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Non vi è dubbio pertanto che la Seatrag si trovi in posizione soggettiva differenziata.</w:t>
      </w:r>
    </w:p>
    <w:p w14:paraId="7D629C7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3.2.2. La questione cont</w:t>
      </w:r>
      <w:r>
        <w:rPr>
          <w:rFonts w:ascii="Garamond" w:eastAsia="Times New Roman" w:hAnsi="Garamond"/>
          <w:color w:val="000000"/>
          <w:kern w:val="0"/>
          <w:sz w:val="30"/>
          <w:szCs w:val="30"/>
          <w:lang w:eastAsia="it-IT"/>
        </w:rPr>
        <w:t>roversa attiene piuttosto alla sussistenza di un interesse concreto ed attuale all’annullamento dei provvedimenti impugnati, in quanto -secondo le parti appellate ed anche secondo il giudice di primo grado- sarebbero privi di effetti lesivi nei confronti d</w:t>
      </w:r>
      <w:r>
        <w:rPr>
          <w:rFonts w:ascii="Garamond" w:eastAsia="Times New Roman" w:hAnsi="Garamond"/>
          <w:color w:val="000000"/>
          <w:kern w:val="0"/>
          <w:sz w:val="30"/>
          <w:szCs w:val="30"/>
          <w:lang w:eastAsia="it-IT"/>
        </w:rPr>
        <w:t>ella Seatrag, sotto i seguenti due profili considerati in sentenza:</w:t>
      </w:r>
    </w:p>
    <w:p w14:paraId="4B18DB6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per un verso, l’erogazione del contributo a vantaggio di Uniport non ha comportato alcuna riduzione o limitazione dell’erogazione di analogo contributo nei confronti della Seatrag, in qu</w:t>
      </w:r>
      <w:r>
        <w:rPr>
          <w:rFonts w:ascii="Garamond" w:eastAsia="Times New Roman" w:hAnsi="Garamond"/>
          <w:color w:val="000000"/>
          <w:kern w:val="0"/>
          <w:sz w:val="30"/>
          <w:szCs w:val="30"/>
          <w:lang w:eastAsia="it-IT"/>
        </w:rPr>
        <w:t>anto quest’ultima lo ha percepito nell’anno 2020 e non negli anni successivi per insussistenza dei relativi presupposti, sicché non potrebbe giovarsi dell’annullamento dei provvedimenti impugnati per conseguire un vantaggio economico diretto;</w:t>
      </w:r>
    </w:p>
    <w:p w14:paraId="13A56FA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per altro v</w:t>
      </w:r>
      <w:r>
        <w:rPr>
          <w:rFonts w:ascii="Garamond" w:eastAsia="Times New Roman" w:hAnsi="Garamond"/>
          <w:color w:val="000000"/>
          <w:kern w:val="0"/>
          <w:sz w:val="30"/>
          <w:szCs w:val="30"/>
          <w:lang w:eastAsia="it-IT"/>
        </w:rPr>
        <w:t>erso, non avrebbe dimostrato l’idoneità in concreto dell’erogazione del contributo in favore di Uniport a distorcere la curva della concorrenza, in quanto è da escludere -sulla base dei documenti in atti- che quest’ultima abbia acquisito quote di mercato a</w:t>
      </w:r>
      <w:r>
        <w:rPr>
          <w:rFonts w:ascii="Garamond" w:eastAsia="Times New Roman" w:hAnsi="Garamond"/>
          <w:color w:val="000000"/>
          <w:kern w:val="0"/>
          <w:sz w:val="30"/>
          <w:szCs w:val="30"/>
          <w:lang w:eastAsia="it-IT"/>
        </w:rPr>
        <w:t>i danni della ricorrente, avendo piuttosto la Seatrag incrementato, a parità di organico, il numero di giornate lavorate, perciò acquisendo essa stessa quote di mercato.</w:t>
      </w:r>
    </w:p>
    <w:p w14:paraId="4CB96230"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3.2.3. L’argomentare di cui al primo profilo va condiviso; non anche quello di cui al </w:t>
      </w:r>
      <w:r>
        <w:rPr>
          <w:rFonts w:ascii="Garamond" w:eastAsia="Times New Roman" w:hAnsi="Garamond"/>
          <w:color w:val="000000"/>
          <w:kern w:val="0"/>
          <w:sz w:val="30"/>
          <w:szCs w:val="30"/>
          <w:lang w:eastAsia="it-IT"/>
        </w:rPr>
        <w:t>secondo.</w:t>
      </w:r>
    </w:p>
    <w:p w14:paraId="7EF8A353" w14:textId="77777777" w:rsidR="00491DEC" w:rsidRDefault="005229DF">
      <w:pPr>
        <w:spacing w:after="0" w:line="520" w:lineRule="atLeast"/>
        <w:jc w:val="both"/>
      </w:pPr>
      <w:r>
        <w:rPr>
          <w:rFonts w:ascii="Garamond" w:eastAsia="Times New Roman" w:hAnsi="Garamond"/>
          <w:color w:val="000000"/>
          <w:kern w:val="0"/>
          <w:sz w:val="30"/>
          <w:szCs w:val="30"/>
          <w:lang w:eastAsia="it-IT"/>
        </w:rPr>
        <w:t>3.3. Quanto a quest’ultimo, la lesione che determina la sussistenza dell’interesse va collegata alle oggettive ricadute economiche dei provvedimenti </w:t>
      </w:r>
      <w:r>
        <w:rPr>
          <w:rFonts w:ascii="Garamond" w:eastAsia="Times New Roman" w:hAnsi="Garamond"/>
          <w:i/>
          <w:iCs/>
          <w:color w:val="000000"/>
          <w:kern w:val="0"/>
          <w:sz w:val="30"/>
          <w:szCs w:val="30"/>
          <w:lang w:eastAsia="it-IT"/>
        </w:rPr>
        <w:t>de quibus</w:t>
      </w:r>
      <w:r>
        <w:rPr>
          <w:rFonts w:ascii="Garamond" w:eastAsia="Times New Roman" w:hAnsi="Garamond"/>
          <w:color w:val="000000"/>
          <w:kern w:val="0"/>
          <w:sz w:val="30"/>
          <w:szCs w:val="30"/>
          <w:lang w:eastAsia="it-IT"/>
        </w:rPr>
        <w:t> nell’ambito di esercizio della medesima attività commerciale svolta da imprese dirette c</w:t>
      </w:r>
      <w:r>
        <w:rPr>
          <w:rFonts w:ascii="Garamond" w:eastAsia="Times New Roman" w:hAnsi="Garamond"/>
          <w:color w:val="000000"/>
          <w:kern w:val="0"/>
          <w:sz w:val="30"/>
          <w:szCs w:val="30"/>
          <w:lang w:eastAsia="it-IT"/>
        </w:rPr>
        <w:t>oncorrenti.</w:t>
      </w:r>
    </w:p>
    <w:p w14:paraId="239EA9D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L’alterazione della curva della concorrenza determinata da aiuti pubblici non dovuti sta d’altronde a fondamento del divieto di aiuti di Stato ai sensi dell’art. 107 del TFUE, la cui violazione è stata denunciata con un motivo di </w:t>
      </w:r>
      <w:r>
        <w:rPr>
          <w:rFonts w:ascii="Garamond" w:eastAsia="Times New Roman" w:hAnsi="Garamond"/>
          <w:color w:val="000000"/>
          <w:kern w:val="0"/>
          <w:sz w:val="30"/>
          <w:szCs w:val="30"/>
          <w:lang w:eastAsia="it-IT"/>
        </w:rPr>
        <w:t>ricorso.</w:t>
      </w:r>
    </w:p>
    <w:p w14:paraId="18E5FB7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3.3.1. In linea di principio è vero che, per la sussistenza dell’interesse ad agire per l’annullamento degli atti impugnati, quanto appena detto non sarebbe sufficiente, dato che, di norma, è necessario, non solo che il ricorrente sia titolare del</w:t>
      </w:r>
      <w:r>
        <w:rPr>
          <w:rFonts w:ascii="Garamond" w:eastAsia="Times New Roman" w:hAnsi="Garamond"/>
          <w:color w:val="000000"/>
          <w:kern w:val="0"/>
          <w:sz w:val="30"/>
          <w:szCs w:val="30"/>
          <w:lang w:eastAsia="it-IT"/>
        </w:rPr>
        <w:t xml:space="preserve">l’interesse differenziato che gli conferisce la legittimazione ad agire, ma anche che questo interesse sia leso in concreto ed attualmente, in modo che la rimozione del provvedimento lesivo comporti un’utilità diretta per il ricorrente medesimo (cfr., tra </w:t>
      </w:r>
      <w:r>
        <w:rPr>
          <w:rFonts w:ascii="Garamond" w:eastAsia="Times New Roman" w:hAnsi="Garamond"/>
          <w:color w:val="000000"/>
          <w:kern w:val="0"/>
          <w:sz w:val="30"/>
          <w:szCs w:val="30"/>
          <w:lang w:eastAsia="it-IT"/>
        </w:rPr>
        <w:t>le tante, anche Cons. Stato, V, 19 giugno 2025 n. 5372, richiamata dalla controinteressata e id., III, 20 febbraio 2025, n. 1419, richiamata dalla difesa erariale).</w:t>
      </w:r>
    </w:p>
    <w:p w14:paraId="49ECC8B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3.3.2. Tuttavia va considerato che il caso di specie si caratterizza per i dati di fatto ev</w:t>
      </w:r>
      <w:r>
        <w:rPr>
          <w:rFonts w:ascii="Garamond" w:eastAsia="Times New Roman" w:hAnsi="Garamond"/>
          <w:color w:val="000000"/>
          <w:kern w:val="0"/>
          <w:sz w:val="30"/>
          <w:szCs w:val="30"/>
          <w:lang w:eastAsia="it-IT"/>
        </w:rPr>
        <w:t xml:space="preserve">idenziati dall’appellante, non contestati dagli appellati, in particolare quanto al numero degli operatori economici direttamente interessati dal beneficio economico in contestazione e quanto all’ambito imprenditoriale, ristretto, nel quale operano, sì da </w:t>
      </w:r>
      <w:r>
        <w:rPr>
          <w:rFonts w:ascii="Garamond" w:eastAsia="Times New Roman" w:hAnsi="Garamond"/>
          <w:color w:val="000000"/>
          <w:kern w:val="0"/>
          <w:sz w:val="30"/>
          <w:szCs w:val="30"/>
          <w:lang w:eastAsia="it-IT"/>
        </w:rPr>
        <w:t>non potersi attagliare a quest’ultimo i richiami giurisprudenziali riferiti a mercati di ben più ampie dimensioni effettuati dalla difesa erariale e di Uniport.</w:t>
      </w:r>
    </w:p>
    <w:p w14:paraId="1BDCEF12" w14:textId="77777777" w:rsidR="00491DEC" w:rsidRDefault="005229DF">
      <w:pPr>
        <w:spacing w:after="0" w:line="520" w:lineRule="atLeast"/>
        <w:jc w:val="both"/>
      </w:pPr>
      <w:r>
        <w:rPr>
          <w:rFonts w:ascii="Garamond" w:eastAsia="Times New Roman" w:hAnsi="Garamond"/>
          <w:color w:val="000000"/>
          <w:kern w:val="0"/>
          <w:sz w:val="30"/>
          <w:szCs w:val="30"/>
          <w:lang w:eastAsia="it-IT"/>
        </w:rPr>
        <w:t>Piuttosto, è corretto il richiamo dell’appellante della consolidata giurisprudenza secondo cui,</w:t>
      </w:r>
      <w:r>
        <w:rPr>
          <w:rFonts w:ascii="Garamond" w:eastAsia="Times New Roman" w:hAnsi="Garamond"/>
          <w:color w:val="000000"/>
          <w:kern w:val="0"/>
          <w:sz w:val="30"/>
          <w:szCs w:val="30"/>
          <w:lang w:eastAsia="it-IT"/>
        </w:rPr>
        <w:t xml:space="preserve"> laddove la controversia investa un titolo edilizio o un altro titolo abilitativo funzionale all’avvio di una nuova attività economica, il criterio dello stabile collegamento territoriale, che deve legare il ricorrente all’area di operatività del controint</w:t>
      </w:r>
      <w:r>
        <w:rPr>
          <w:rFonts w:ascii="Garamond" w:eastAsia="Times New Roman" w:hAnsi="Garamond"/>
          <w:color w:val="000000"/>
          <w:kern w:val="0"/>
          <w:sz w:val="30"/>
          <w:szCs w:val="30"/>
          <w:lang w:eastAsia="it-IT"/>
        </w:rPr>
        <w:t>eressato per poterne qualificare la posizione processuale e conseguentemente il diritto di azione, deve essere riguardato in un’ottica più ampia rispetto a quella usuale: il concetto di </w:t>
      </w:r>
      <w:r>
        <w:rPr>
          <w:rFonts w:ascii="Garamond" w:eastAsia="Times New Roman" w:hAnsi="Garamond"/>
          <w:i/>
          <w:iCs/>
          <w:color w:val="000000"/>
          <w:kern w:val="0"/>
          <w:sz w:val="30"/>
          <w:szCs w:val="30"/>
          <w:lang w:eastAsia="it-IT"/>
        </w:rPr>
        <w:t>vicinitas</w:t>
      </w:r>
      <w:r>
        <w:rPr>
          <w:rFonts w:ascii="Garamond" w:eastAsia="Times New Roman" w:hAnsi="Garamond"/>
          <w:color w:val="000000"/>
          <w:kern w:val="0"/>
          <w:sz w:val="30"/>
          <w:szCs w:val="30"/>
          <w:lang w:eastAsia="it-IT"/>
        </w:rPr>
        <w:t> nella contestazione di una struttura imprenditoriale si iden</w:t>
      </w:r>
      <w:r>
        <w:rPr>
          <w:rFonts w:ascii="Garamond" w:eastAsia="Times New Roman" w:hAnsi="Garamond"/>
          <w:color w:val="000000"/>
          <w:kern w:val="0"/>
          <w:sz w:val="30"/>
          <w:szCs w:val="30"/>
          <w:lang w:eastAsia="it-IT"/>
        </w:rPr>
        <w:t>tifica nella nozione di stesso bacino d'utenza della concorrente, tale da poter oggettivamente determinare un apprezzabile calo del volume d'affari (tra le altre, Consiglio di Stato, Sez. IV, 1 giugno 2018 n. 3316, Consiglio di Stato, Sez. VI, 28 marzo 202</w:t>
      </w:r>
      <w:r>
        <w:rPr>
          <w:rFonts w:ascii="Garamond" w:eastAsia="Times New Roman" w:hAnsi="Garamond"/>
          <w:color w:val="000000"/>
          <w:kern w:val="0"/>
          <w:sz w:val="30"/>
          <w:szCs w:val="30"/>
          <w:lang w:eastAsia="it-IT"/>
        </w:rPr>
        <w:t>2 n. 2268, richiamate di recente da Cons. Stato, V, 19 marzo 2025, n. 2273).</w:t>
      </w:r>
    </w:p>
    <w:p w14:paraId="05CC502C"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Ne consegue che, alle condizioni appena dette, così come l’illegittimo inserimento nel mercato di riferimento di un nuovo concorrente può portare allo sviamento della clientela de</w:t>
      </w:r>
      <w:r>
        <w:rPr>
          <w:rFonts w:ascii="Garamond" w:eastAsia="Times New Roman" w:hAnsi="Garamond"/>
          <w:color w:val="000000"/>
          <w:kern w:val="0"/>
          <w:sz w:val="30"/>
          <w:szCs w:val="30"/>
          <w:lang w:eastAsia="it-IT"/>
        </w:rPr>
        <w:t>lle imprese già operanti in quel mercato, analogamente l’illegittimo sostegno economico ad un concorrente ivi operante, ne determina un rafforzamento economico che, impedendone la fuoriuscita dal mercato o anche soltanto la riduzione della sua operatività,</w:t>
      </w:r>
      <w:r>
        <w:rPr>
          <w:rFonts w:ascii="Garamond" w:eastAsia="Times New Roman" w:hAnsi="Garamond"/>
          <w:color w:val="000000"/>
          <w:kern w:val="0"/>
          <w:sz w:val="30"/>
          <w:szCs w:val="30"/>
          <w:lang w:eastAsia="it-IT"/>
        </w:rPr>
        <w:t xml:space="preserve"> lascia inalterati i volumi dei traffici dei concorrenti, laddove se l’andamento economico dell’impresa non fosse stato alterato, le imprese concorrenti non potrebbero che essere avvantaggiate dalla sua liquidazione o anche riduzione di operatività.</w:t>
      </w:r>
    </w:p>
    <w:p w14:paraId="0A2C582B"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L’elev</w:t>
      </w:r>
      <w:r>
        <w:rPr>
          <w:rFonts w:ascii="Garamond" w:eastAsia="Times New Roman" w:hAnsi="Garamond"/>
          <w:color w:val="000000"/>
          <w:kern w:val="0"/>
          <w:sz w:val="30"/>
          <w:szCs w:val="30"/>
          <w:lang w:eastAsia="it-IT"/>
        </w:rPr>
        <w:t xml:space="preserve">ata probabilità di tale vantaggio economico per Seatrag, tale da escludere che esso possa essere meramente ipotetico o frutto di prospettazione astratta, trova fondamento -a prescindere quindi dall’acquisizione di ulteriori quote di mercato da parte della </w:t>
      </w:r>
      <w:r>
        <w:rPr>
          <w:rFonts w:ascii="Garamond" w:eastAsia="Times New Roman" w:hAnsi="Garamond"/>
          <w:color w:val="000000"/>
          <w:kern w:val="0"/>
          <w:sz w:val="30"/>
          <w:szCs w:val="30"/>
          <w:lang w:eastAsia="it-IT"/>
        </w:rPr>
        <w:t xml:space="preserve">Uniport in danno della Seatrag, grazie all’aiuto illegittimo, ovvero dal compimento da parte della prima di pratiche distorsive della concorrenza, rese possibili da tale aiuto- oltre che, come detto, nel numero esiguo degli operatori economici coinvolti e </w:t>
      </w:r>
      <w:r>
        <w:rPr>
          <w:rFonts w:ascii="Garamond" w:eastAsia="Times New Roman" w:hAnsi="Garamond"/>
          <w:color w:val="000000"/>
          <w:kern w:val="0"/>
          <w:sz w:val="30"/>
          <w:szCs w:val="30"/>
          <w:lang w:eastAsia="it-IT"/>
        </w:rPr>
        <w:t>nella ristrettezza della clientela di riferimento, nell’importo dei contributi erogati in favore di Uniport, da ritenersi particolarmente elevato sia in termini assoluti che in relazione ai bilanci aziendali degli anni di riferimento.</w:t>
      </w:r>
    </w:p>
    <w:p w14:paraId="623F153A"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3.3.3. In conclusione</w:t>
      </w:r>
      <w:r>
        <w:rPr>
          <w:rFonts w:ascii="Garamond" w:eastAsia="Times New Roman" w:hAnsi="Garamond"/>
          <w:color w:val="000000"/>
          <w:kern w:val="0"/>
          <w:sz w:val="30"/>
          <w:szCs w:val="30"/>
          <w:lang w:eastAsia="it-IT"/>
        </w:rPr>
        <w:t>, in considerazione della specificità del caso di specie, la circostanza che la lesione dell’interesse a tutela della concorrenza in capo a Seatrag sia prospettabile come altamente probabile - tenuto conto dell’idoneità dei provvedimenti impugnati a produr</w:t>
      </w:r>
      <w:r>
        <w:rPr>
          <w:rFonts w:ascii="Garamond" w:eastAsia="Times New Roman" w:hAnsi="Garamond"/>
          <w:color w:val="000000"/>
          <w:kern w:val="0"/>
          <w:sz w:val="30"/>
          <w:szCs w:val="30"/>
          <w:lang w:eastAsia="it-IT"/>
        </w:rPr>
        <w:t xml:space="preserve">re nel tempo e nel mercato di riferimento gli effetti anticoncorrenziali sopra detti - senza che sia provato un pregiudizio economico attuale in capo alla ricorrente, non rende di per sé privo di attualità l’interesse ad agire per caducare i provvedimenti </w:t>
      </w:r>
      <w:r>
        <w:rPr>
          <w:rFonts w:ascii="Garamond" w:eastAsia="Times New Roman" w:hAnsi="Garamond"/>
          <w:color w:val="000000"/>
          <w:kern w:val="0"/>
          <w:sz w:val="30"/>
          <w:szCs w:val="30"/>
          <w:lang w:eastAsia="it-IT"/>
        </w:rPr>
        <w:t>che si assumono lesivi.</w:t>
      </w:r>
    </w:p>
    <w:p w14:paraId="291E4756"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 più recenti approdi della giurisprudenza amministrativa, infatti, tendono a valorizzare la prospettazione della lesione che il ricorrente afferma di aver subito o di poter subire, piuttosto che la dimostrazione dell’effettività de</w:t>
      </w:r>
      <w:r>
        <w:rPr>
          <w:rFonts w:ascii="Garamond" w:eastAsia="Times New Roman" w:hAnsi="Garamond"/>
          <w:color w:val="000000"/>
          <w:kern w:val="0"/>
          <w:sz w:val="30"/>
          <w:szCs w:val="30"/>
          <w:lang w:eastAsia="it-IT"/>
        </w:rPr>
        <w:t>lla lesione prospettata (cfr. Cons. Stato, Ad. Plen. 17 novembre 2021, n. 22) e tale principio è vieppiù utilizzabile in tema di concorrenza, a tutela della quale è da ritenersi sindacabile la condotta del concorrente che sia idonea a falsare significativa</w:t>
      </w:r>
      <w:r>
        <w:rPr>
          <w:rFonts w:ascii="Garamond" w:eastAsia="Times New Roman" w:hAnsi="Garamond"/>
          <w:color w:val="000000"/>
          <w:kern w:val="0"/>
          <w:sz w:val="30"/>
          <w:szCs w:val="30"/>
          <w:lang w:eastAsia="it-IT"/>
        </w:rPr>
        <w:t>mente il mercato di riferimento.</w:t>
      </w:r>
    </w:p>
    <w:p w14:paraId="09A36BF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3.4. Il primo motivo di appello va quindi accolto.</w:t>
      </w:r>
    </w:p>
    <w:p w14:paraId="5D726FCC"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Tale accoglimento comporta la riforma della sentenza nella parte in cui ha dichiarato inammissibile il ricorso per carenza di interesse ad agire della </w:t>
      </w:r>
      <w:r>
        <w:rPr>
          <w:rFonts w:ascii="Garamond" w:eastAsia="Times New Roman" w:hAnsi="Garamond"/>
          <w:color w:val="000000"/>
          <w:kern w:val="0"/>
          <w:sz w:val="30"/>
          <w:szCs w:val="30"/>
          <w:lang w:eastAsia="it-IT"/>
        </w:rPr>
        <w:t>ricorrente, nonché il rigetto definitivo della corrispondente eccezione, riproposta in appello dalla controinteressata Uniport Livorno società cooperativa.</w:t>
      </w:r>
    </w:p>
    <w:p w14:paraId="0A37C95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4. Quest’ultima, con la memoria di costituzione del 10 ottobre 2025, ha riproposto altresì l’eccezio</w:t>
      </w:r>
      <w:r>
        <w:rPr>
          <w:rFonts w:ascii="Garamond" w:eastAsia="Times New Roman" w:hAnsi="Garamond"/>
          <w:color w:val="000000"/>
          <w:kern w:val="0"/>
          <w:sz w:val="30"/>
          <w:szCs w:val="30"/>
          <w:lang w:eastAsia="it-IT"/>
        </w:rPr>
        <w:t>ne di inammissibilità per tardività dell’impugnazione, assorbita dalla decisione di primo grado.</w:t>
      </w:r>
    </w:p>
    <w:p w14:paraId="1934CFFA"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4.1. A sostegno dell’eccezione, la società appellata deduce in fatto che:</w:t>
      </w:r>
    </w:p>
    <w:p w14:paraId="1A1B5F7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 il legale rappresentante di Seatrag ha presentato il 23 ottobre 2023 un’istanza di </w:t>
      </w:r>
      <w:r>
        <w:rPr>
          <w:rFonts w:ascii="Garamond" w:eastAsia="Times New Roman" w:hAnsi="Garamond"/>
          <w:color w:val="000000"/>
          <w:kern w:val="0"/>
          <w:sz w:val="30"/>
          <w:szCs w:val="30"/>
          <w:lang w:eastAsia="it-IT"/>
        </w:rPr>
        <w:t>accesso civico ai sensi dell’art. 5 del d.lgs. n. 33/2023, solo parzialmente accolta dall’AdSP, che, con nota del 1° marzo 2024, ha consentito l’accesso a tutti i provvedimenti di erogazione richiesti ed alle presupposte relazioni istruttorie;</w:t>
      </w:r>
    </w:p>
    <w:p w14:paraId="272A5A88" w14:textId="77777777" w:rsidR="00491DEC" w:rsidRDefault="005229DF">
      <w:pPr>
        <w:spacing w:after="0" w:line="520" w:lineRule="atLeast"/>
        <w:jc w:val="both"/>
      </w:pPr>
      <w:r>
        <w:rPr>
          <w:rFonts w:ascii="Garamond" w:eastAsia="Times New Roman" w:hAnsi="Garamond"/>
          <w:color w:val="000000"/>
          <w:kern w:val="0"/>
          <w:sz w:val="30"/>
          <w:szCs w:val="30"/>
          <w:lang w:eastAsia="it-IT"/>
        </w:rPr>
        <w:t>- i document</w:t>
      </w:r>
      <w:r>
        <w:rPr>
          <w:rFonts w:ascii="Garamond" w:eastAsia="Times New Roman" w:hAnsi="Garamond"/>
          <w:color w:val="000000"/>
          <w:kern w:val="0"/>
          <w:sz w:val="30"/>
          <w:szCs w:val="30"/>
          <w:lang w:eastAsia="it-IT"/>
        </w:rPr>
        <w:t>i sono stati depositati dinanzi al T.a.r. Toscana nel giudizio n. 459/2024 introdotto dalla società Seatrag il 26 marzo 2024 per impugnare il parziale diniego di accesso sia “</w:t>
      </w:r>
      <w:r>
        <w:rPr>
          <w:rFonts w:ascii="Garamond" w:eastAsia="Times New Roman" w:hAnsi="Garamond"/>
          <w:i/>
          <w:iCs/>
          <w:color w:val="000000"/>
          <w:kern w:val="0"/>
          <w:sz w:val="30"/>
          <w:szCs w:val="30"/>
          <w:lang w:eastAsia="it-IT"/>
        </w:rPr>
        <w:t>alla documentazione presentata da Uniport</w:t>
      </w:r>
      <w:r>
        <w:rPr>
          <w:rFonts w:ascii="Garamond" w:eastAsia="Times New Roman" w:hAnsi="Garamond"/>
          <w:color w:val="000000"/>
          <w:kern w:val="0"/>
          <w:sz w:val="30"/>
          <w:szCs w:val="30"/>
          <w:lang w:eastAsia="it-IT"/>
        </w:rPr>
        <w:t>” che ad ogni altro atto o documento del</w:t>
      </w:r>
      <w:r>
        <w:rPr>
          <w:rFonts w:ascii="Garamond" w:eastAsia="Times New Roman" w:hAnsi="Garamond"/>
          <w:color w:val="000000"/>
          <w:kern w:val="0"/>
          <w:sz w:val="30"/>
          <w:szCs w:val="30"/>
          <w:lang w:eastAsia="it-IT"/>
        </w:rPr>
        <w:t>l’istruttoria procedimentale volto a verificare l’applicativo del calcolo del contributo erogato;</w:t>
      </w:r>
    </w:p>
    <w:p w14:paraId="1EDFE861"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tutti i provvedimenti di erogazione impugnati col ricorso introduttivo del presente giudizio (RG 1008/2024) sono stati comunque resi accessibili al legale r</w:t>
      </w:r>
      <w:r>
        <w:rPr>
          <w:rFonts w:ascii="Garamond" w:eastAsia="Times New Roman" w:hAnsi="Garamond"/>
          <w:color w:val="000000"/>
          <w:kern w:val="0"/>
          <w:sz w:val="30"/>
          <w:szCs w:val="30"/>
          <w:lang w:eastAsia="it-IT"/>
        </w:rPr>
        <w:t>appresentante di Seatrag sin dal 4 marzo 2024;</w:t>
      </w:r>
    </w:p>
    <w:p w14:paraId="0EE283F8"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inoltre, l’AdSP, nel costituirsi nel giudizio n. 459/2024, ha depositato una relazione nella quale ha chiarito che l’art. 199 del d.l. n. 34 del 2020 è stato interpretato anche dal Ministero vigilante nel se</w:t>
      </w:r>
      <w:r>
        <w:rPr>
          <w:rFonts w:ascii="Garamond" w:eastAsia="Times New Roman" w:hAnsi="Garamond"/>
          <w:color w:val="000000"/>
          <w:kern w:val="0"/>
          <w:sz w:val="30"/>
          <w:szCs w:val="30"/>
          <w:lang w:eastAsia="it-IT"/>
        </w:rPr>
        <w:t>nso che non si dovesse tenere conto, nella procedura relativa al calcolo del contributo, della diminuzione della forza lavoro dell’impresa negli anni successivi al 2019;</w:t>
      </w:r>
    </w:p>
    <w:p w14:paraId="22ED737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solo dopo che il T.a.r. Toscana, con la sentenza n. 662 del 30 maggio 2024, ha dichi</w:t>
      </w:r>
      <w:r>
        <w:rPr>
          <w:rFonts w:ascii="Garamond" w:eastAsia="Times New Roman" w:hAnsi="Garamond"/>
          <w:color w:val="000000"/>
          <w:kern w:val="0"/>
          <w:sz w:val="30"/>
          <w:szCs w:val="30"/>
          <w:lang w:eastAsia="it-IT"/>
        </w:rPr>
        <w:t>arato improcedibile per sopravvenuta carenza di interesse il ricorso per l’accesso, la Seatrag ha impugnato i provvedimenti di erogazione del contributo in favore di Uniport adottati fino al maggio 2024 col ricorso notificato il 3 luglio 2024, cui hanno fa</w:t>
      </w:r>
      <w:r>
        <w:rPr>
          <w:rFonts w:ascii="Garamond" w:eastAsia="Times New Roman" w:hAnsi="Garamond"/>
          <w:color w:val="000000"/>
          <w:kern w:val="0"/>
          <w:sz w:val="30"/>
          <w:szCs w:val="30"/>
          <w:lang w:eastAsia="it-IT"/>
        </w:rPr>
        <w:t>tto seguito i motivi aggiunti per impugnare i provvedimenti di riconoscimento dei contributi per il periodo aprile-settembre 2024.</w:t>
      </w:r>
    </w:p>
    <w:p w14:paraId="0A72B8A8"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Prima ancora che sulle risultanze fattuali di cui sopra, l’eccezione di Uniport è basata sul contenuto della nota del 14 sett</w:t>
      </w:r>
      <w:r>
        <w:rPr>
          <w:rFonts w:ascii="Garamond" w:eastAsia="Times New Roman" w:hAnsi="Garamond"/>
          <w:color w:val="000000"/>
          <w:kern w:val="0"/>
          <w:sz w:val="30"/>
          <w:szCs w:val="30"/>
          <w:lang w:eastAsia="it-IT"/>
        </w:rPr>
        <w:t>embre 2023, indirizzata da Seatrag all’AdSP, interamente riportato in atti, tale che -secondo l’appellata- dimostrerebbe la piena conoscenza da parte di Seatrag del criterio di calcolo del contributo seguito negli anni 2021, 2022 e, in prospettiva, 2023, c</w:t>
      </w:r>
      <w:r>
        <w:rPr>
          <w:rFonts w:ascii="Garamond" w:eastAsia="Times New Roman" w:hAnsi="Garamond"/>
          <w:color w:val="000000"/>
          <w:kern w:val="0"/>
          <w:sz w:val="30"/>
          <w:szCs w:val="30"/>
          <w:lang w:eastAsia="it-IT"/>
        </w:rPr>
        <w:t>ensurato poi col ricorso introduttivo del presente giudizio.</w:t>
      </w:r>
    </w:p>
    <w:p w14:paraId="6E22A925"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La conseguenza sarebbe che -una volta ricevuti in copia i provvedimenti di cui alla nota del 4 marzo 2024- avrebbe dovuto impugnarli entro il 4 maggio 2024, sicché sarebbe tardivo il ricorso noti</w:t>
      </w:r>
      <w:r>
        <w:rPr>
          <w:rFonts w:ascii="Garamond" w:eastAsia="Times New Roman" w:hAnsi="Garamond"/>
          <w:color w:val="000000"/>
          <w:kern w:val="0"/>
          <w:sz w:val="30"/>
          <w:szCs w:val="30"/>
          <w:lang w:eastAsia="it-IT"/>
        </w:rPr>
        <w:t>ficato il 3 luglio 2024, quanto meno appunto in riferimento ai provvedimenti trasmessi il 4 marzo 2024 (in numero di undici: doc. 14-24 del foliario Seatrag, esclusi i provvedimenti conosciuti successivamente, e fatti comunque oggetto di impugnazione).</w:t>
      </w:r>
    </w:p>
    <w:p w14:paraId="42BFDF6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4.2</w:t>
      </w:r>
      <w:r>
        <w:rPr>
          <w:rFonts w:ascii="Garamond" w:eastAsia="Times New Roman" w:hAnsi="Garamond"/>
          <w:color w:val="000000"/>
          <w:kern w:val="0"/>
          <w:sz w:val="30"/>
          <w:szCs w:val="30"/>
          <w:lang w:eastAsia="it-IT"/>
        </w:rPr>
        <w:t>. L’eccezione non merita di essere accolta.</w:t>
      </w:r>
    </w:p>
    <w:p w14:paraId="55EA996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4.2.1. In punto di fatto va evidenziato che solo il 6 maggio 2024 sono state depositate (nel giudizio introdotto con ricorso n. 459/2024) la nota del Presidente dell’AdSP del 7 marzo 2022 e la risposta del Minist</w:t>
      </w:r>
      <w:r>
        <w:rPr>
          <w:rFonts w:ascii="Garamond" w:eastAsia="Times New Roman" w:hAnsi="Garamond"/>
          <w:color w:val="000000"/>
          <w:kern w:val="0"/>
          <w:sz w:val="30"/>
          <w:szCs w:val="30"/>
          <w:lang w:eastAsia="it-IT"/>
        </w:rPr>
        <w:t>ero delle Infrastrutture del 10 marzo 2022.</w:t>
      </w:r>
    </w:p>
    <w:p w14:paraId="240D0C72" w14:textId="77777777" w:rsidR="00491DEC" w:rsidRDefault="005229DF">
      <w:pPr>
        <w:spacing w:after="0" w:line="520" w:lineRule="atLeast"/>
        <w:jc w:val="both"/>
      </w:pPr>
      <w:r>
        <w:rPr>
          <w:rFonts w:ascii="Garamond" w:eastAsia="Times New Roman" w:hAnsi="Garamond"/>
          <w:color w:val="000000"/>
          <w:kern w:val="0"/>
          <w:sz w:val="30"/>
          <w:szCs w:val="30"/>
          <w:lang w:eastAsia="it-IT"/>
        </w:rPr>
        <w:t>Soltanto dal contenuto di tali note emerge, con certezza, che l’Autorità “</w:t>
      </w:r>
      <w:r>
        <w:rPr>
          <w:rFonts w:ascii="Garamond" w:eastAsia="Times New Roman" w:hAnsi="Garamond"/>
          <w:i/>
          <w:iCs/>
          <w:color w:val="000000"/>
          <w:kern w:val="0"/>
          <w:sz w:val="30"/>
          <w:szCs w:val="30"/>
          <w:lang w:eastAsia="it-IT"/>
        </w:rPr>
        <w:t>ha provveduto a conteggiare i minori turni lavorati senza tenere conto del processo di riorganizzazione e riduzione della forza lavoro avv</w:t>
      </w:r>
      <w:r>
        <w:rPr>
          <w:rFonts w:ascii="Garamond" w:eastAsia="Times New Roman" w:hAnsi="Garamond"/>
          <w:i/>
          <w:iCs/>
          <w:color w:val="000000"/>
          <w:kern w:val="0"/>
          <w:sz w:val="30"/>
          <w:szCs w:val="30"/>
          <w:lang w:eastAsia="it-IT"/>
        </w:rPr>
        <w:t>iato</w:t>
      </w:r>
      <w:r>
        <w:rPr>
          <w:rFonts w:ascii="Garamond" w:eastAsia="Times New Roman" w:hAnsi="Garamond"/>
          <w:color w:val="000000"/>
          <w:kern w:val="0"/>
          <w:sz w:val="30"/>
          <w:szCs w:val="30"/>
          <w:lang w:eastAsia="it-IT"/>
        </w:rPr>
        <w:t>” da Uniport.</w:t>
      </w:r>
    </w:p>
    <w:p w14:paraId="23A3321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4.2.2. Si può convenire con l’appellata Uniport che già con la nota del 14 settembre 2023 la Seatrag affermava un’interpretazione dell’art. 199 del d.l. n. 34/2020 conforme a quella sostenuta nel presente giudizio.</w:t>
      </w:r>
    </w:p>
    <w:p w14:paraId="46C4F9B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Tuttavia, con la stessa</w:t>
      </w:r>
      <w:r>
        <w:rPr>
          <w:rFonts w:ascii="Garamond" w:eastAsia="Times New Roman" w:hAnsi="Garamond"/>
          <w:color w:val="000000"/>
          <w:kern w:val="0"/>
          <w:sz w:val="30"/>
          <w:szCs w:val="30"/>
          <w:lang w:eastAsia="it-IT"/>
        </w:rPr>
        <w:t xml:space="preserve"> comunicazione, non manifestava certezza alcuna sul fatto che detta interpretazione fosse stata disattesa dall’Autorità competente, palesando piuttosto “perplessità” in ordine al criterio di calcolo del contributo seguito nei confronti della Uniport.</w:t>
      </w:r>
    </w:p>
    <w:p w14:paraId="0DADA4A6"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L’int</w:t>
      </w:r>
      <w:r>
        <w:rPr>
          <w:rFonts w:ascii="Garamond" w:eastAsia="Times New Roman" w:hAnsi="Garamond"/>
          <w:color w:val="000000"/>
          <w:kern w:val="0"/>
          <w:sz w:val="30"/>
          <w:szCs w:val="30"/>
          <w:lang w:eastAsia="it-IT"/>
        </w:rPr>
        <w:t>ero impianto contenutistico della nota del 14 settembre 2023 dimostra la conoscenza di dati di fatto rilevanti per il calcolo (in particolare riguardo alla situazione del personale dipendente delle tre imprese autorizzate ai sensi dell’articolo 16 L. 84/94</w:t>
      </w:r>
      <w:r>
        <w:rPr>
          <w:rFonts w:ascii="Garamond" w:eastAsia="Times New Roman" w:hAnsi="Garamond"/>
          <w:color w:val="000000"/>
          <w:kern w:val="0"/>
          <w:sz w:val="30"/>
          <w:szCs w:val="30"/>
          <w:lang w:eastAsia="it-IT"/>
        </w:rPr>
        <w:t xml:space="preserve"> del Porto di Livorno negli anni 2019-2020-2021-2022-2023, tratti dagli estratti della CCIAA). Tuttavia, la conoscenza di elementi utilizzabili per il calcolo - peraltro parziale in quanto mancante della conoscenza del numero dei turni di lavoro effettuati</w:t>
      </w:r>
      <w:r>
        <w:rPr>
          <w:rFonts w:ascii="Garamond" w:eastAsia="Times New Roman" w:hAnsi="Garamond"/>
          <w:color w:val="000000"/>
          <w:kern w:val="0"/>
          <w:sz w:val="30"/>
          <w:szCs w:val="30"/>
          <w:lang w:eastAsia="it-IT"/>
        </w:rPr>
        <w:t xml:space="preserve"> dai diversi lavoratori (dipendenti e/o somministrati), rispetto a quelli conteggiati (solo desumibili dagli importi liquidati) - non equivale alla conoscenza del metodo di calcolo effettivamente seguito dall’Autorità.</w:t>
      </w:r>
    </w:p>
    <w:p w14:paraId="599237B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Con la nota del 7 marzo 2022, complet</w:t>
      </w:r>
      <w:r>
        <w:rPr>
          <w:rFonts w:ascii="Garamond" w:eastAsia="Times New Roman" w:hAnsi="Garamond"/>
          <w:color w:val="000000"/>
          <w:kern w:val="0"/>
          <w:sz w:val="30"/>
          <w:szCs w:val="30"/>
          <w:lang w:eastAsia="it-IT"/>
        </w:rPr>
        <w:t>ata con quella del 10 marzo 2022, è stato reso noto con certezza tale metodo di calcolo, che costituisce il vero obiettivo dell’impugnativa di Seatrag.</w:t>
      </w:r>
    </w:p>
    <w:p w14:paraId="597139C8" w14:textId="77777777" w:rsidR="00491DEC" w:rsidRDefault="005229DF">
      <w:pPr>
        <w:spacing w:after="0" w:line="520" w:lineRule="atLeast"/>
        <w:jc w:val="both"/>
      </w:pPr>
      <w:r>
        <w:rPr>
          <w:rFonts w:ascii="Garamond" w:eastAsia="Times New Roman" w:hAnsi="Garamond"/>
          <w:color w:val="000000"/>
          <w:kern w:val="0"/>
          <w:sz w:val="30"/>
          <w:szCs w:val="30"/>
          <w:lang w:eastAsia="it-IT"/>
        </w:rPr>
        <w:t>Come osserva quest’ultima, i provvedimenti oggetto del presente giudizio sono apparsi lesivi nei suoi co</w:t>
      </w:r>
      <w:r>
        <w:rPr>
          <w:rFonts w:ascii="Garamond" w:eastAsia="Times New Roman" w:hAnsi="Garamond"/>
          <w:color w:val="000000"/>
          <w:kern w:val="0"/>
          <w:sz w:val="30"/>
          <w:szCs w:val="30"/>
          <w:lang w:eastAsia="it-IT"/>
        </w:rPr>
        <w:t>nfronti, in quanto illegittimi (secondo l’interpretazione che sostiene), soltanto dopo che la società ricorrente ha avuto contezza delle modalità (</w:t>
      </w:r>
      <w:r>
        <w:rPr>
          <w:rFonts w:ascii="Garamond" w:eastAsia="Times New Roman" w:hAnsi="Garamond"/>
          <w:i/>
          <w:iCs/>
          <w:color w:val="000000"/>
          <w:kern w:val="0"/>
          <w:sz w:val="30"/>
          <w:szCs w:val="30"/>
          <w:lang w:eastAsia="it-IT"/>
        </w:rPr>
        <w:t>quomodo</w:t>
      </w:r>
      <w:r>
        <w:rPr>
          <w:rFonts w:ascii="Garamond" w:eastAsia="Times New Roman" w:hAnsi="Garamond"/>
          <w:color w:val="000000"/>
          <w:kern w:val="0"/>
          <w:sz w:val="30"/>
          <w:szCs w:val="30"/>
          <w:lang w:eastAsia="it-IT"/>
        </w:rPr>
        <w:t>) -appunto asseritamente illegittime- con le quali il contributo (non contestato nell’</w:t>
      </w:r>
      <w:r>
        <w:rPr>
          <w:rFonts w:ascii="Garamond" w:eastAsia="Times New Roman" w:hAnsi="Garamond"/>
          <w:i/>
          <w:iCs/>
          <w:color w:val="000000"/>
          <w:kern w:val="0"/>
          <w:sz w:val="30"/>
          <w:szCs w:val="30"/>
          <w:lang w:eastAsia="it-IT"/>
        </w:rPr>
        <w:t>an</w:t>
      </w:r>
      <w:r>
        <w:rPr>
          <w:rFonts w:ascii="Garamond" w:eastAsia="Times New Roman" w:hAnsi="Garamond"/>
          <w:color w:val="000000"/>
          <w:kern w:val="0"/>
          <w:sz w:val="30"/>
          <w:szCs w:val="30"/>
          <w:lang w:eastAsia="it-IT"/>
        </w:rPr>
        <w:t xml:space="preserve">) è stato </w:t>
      </w:r>
      <w:r>
        <w:rPr>
          <w:rFonts w:ascii="Garamond" w:eastAsia="Times New Roman" w:hAnsi="Garamond"/>
          <w:color w:val="000000"/>
          <w:kern w:val="0"/>
          <w:sz w:val="30"/>
          <w:szCs w:val="30"/>
          <w:lang w:eastAsia="it-IT"/>
        </w:rPr>
        <w:t>determinato in favore di Uniport in ragione del minor numero di turni lavorati.</w:t>
      </w:r>
    </w:p>
    <w:p w14:paraId="67C28B9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4.3. In tema di decorrenza del termine di impugnazione ai sensi dell’art. 41, comma 2, c.p.a. va ritenuta indispensabile la “piena percezione” non solo del provvedimento ammini</w:t>
      </w:r>
      <w:r>
        <w:rPr>
          <w:rFonts w:ascii="Garamond" w:eastAsia="Times New Roman" w:hAnsi="Garamond"/>
          <w:color w:val="000000"/>
          <w:kern w:val="0"/>
          <w:sz w:val="30"/>
          <w:szCs w:val="30"/>
          <w:lang w:eastAsia="it-IT"/>
        </w:rPr>
        <w:t>strativo, ma dell’effetto lesivo dal medesimo prodotto, sicché, se è vero che, in linea di principio, non è necessaria la conoscenza integrale e dettagliata del provvedimento né dei vizi del medesimo (così anche di recente Cons. Stato, VII, 16 dicembre 202</w:t>
      </w:r>
      <w:r>
        <w:rPr>
          <w:rFonts w:ascii="Garamond" w:eastAsia="Times New Roman" w:hAnsi="Garamond"/>
          <w:color w:val="000000"/>
          <w:kern w:val="0"/>
          <w:sz w:val="30"/>
          <w:szCs w:val="30"/>
          <w:lang w:eastAsia="it-IT"/>
        </w:rPr>
        <w:t>5, n. 9933, tra le altre), non può mancare la consapevolezza sia della portata lesiva dell’atto sia dell’illegittimità della lesione subita (cfr., in tema di percezione dell’illegittimità dell’effetto lesivo, Cons. Stato, Ad. Plen., 27 febbraio 2019, n. 4)</w:t>
      </w:r>
      <w:r>
        <w:rPr>
          <w:rFonts w:ascii="Garamond" w:eastAsia="Times New Roman" w:hAnsi="Garamond"/>
          <w:color w:val="000000"/>
          <w:kern w:val="0"/>
          <w:sz w:val="30"/>
          <w:szCs w:val="30"/>
          <w:lang w:eastAsia="it-IT"/>
        </w:rPr>
        <w:t>.</w:t>
      </w:r>
    </w:p>
    <w:p w14:paraId="2D72FDB2"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A maggior ragione tale conclusione s’impone quando l’atto incide sulla posizione del ricorrente terzo, non destinatario dell’atto, perciò soggetto ad un’inevitabile “asimmetria” informativa, che richiede di essere preventivamente colmata per una consapev</w:t>
      </w:r>
      <w:r>
        <w:rPr>
          <w:rFonts w:ascii="Garamond" w:eastAsia="Times New Roman" w:hAnsi="Garamond"/>
          <w:color w:val="000000"/>
          <w:kern w:val="0"/>
          <w:sz w:val="30"/>
          <w:szCs w:val="30"/>
          <w:lang w:eastAsia="it-IT"/>
        </w:rPr>
        <w:t>ole ed informata iniziativa giudiziaria.</w:t>
      </w:r>
    </w:p>
    <w:p w14:paraId="2F7B729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Si tratta di una prospettiva che valorizza l’effettività della tutela, garantita dalla “posticipazione” del termine per ricorrere, in tutti quei casi in cui l’atto, pur conosciuto dall’interessato, manifesti la sua </w:t>
      </w:r>
      <w:r>
        <w:rPr>
          <w:rFonts w:ascii="Garamond" w:eastAsia="Times New Roman" w:hAnsi="Garamond"/>
          <w:color w:val="000000"/>
          <w:kern w:val="0"/>
          <w:sz w:val="30"/>
          <w:szCs w:val="30"/>
          <w:lang w:eastAsia="it-IT"/>
        </w:rPr>
        <w:t>illegittimità in un momento successivo alla mera conoscenza del provvedimento, in quanto il vizio non è ricavabile dall’atto ma da elementi ad esso esterni, come accaduto nel caso di specie.</w:t>
      </w:r>
    </w:p>
    <w:p w14:paraId="2DE7543C"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4.4. L’eccezione di irricevibilità del ricorso introduttivo per t</w:t>
      </w:r>
      <w:r>
        <w:rPr>
          <w:rFonts w:ascii="Garamond" w:eastAsia="Times New Roman" w:hAnsi="Garamond"/>
          <w:color w:val="000000"/>
          <w:kern w:val="0"/>
          <w:sz w:val="30"/>
          <w:szCs w:val="30"/>
          <w:lang w:eastAsia="it-IT"/>
        </w:rPr>
        <w:t>ardività va quindi respinta.</w:t>
      </w:r>
    </w:p>
    <w:p w14:paraId="1E974BA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5. Col secondo motivo è censurata la decisione di rigetto del ricorso nel merito, che il giudice di primo grado ha adottato sulla base delle seguenti argomentazioni:</w:t>
      </w:r>
    </w:p>
    <w:p w14:paraId="2D3F096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A) relativamente al primo motivo:</w:t>
      </w:r>
    </w:p>
    <w:p w14:paraId="6659BC2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 la norma non dice che le </w:t>
      </w:r>
      <w:r>
        <w:rPr>
          <w:rFonts w:ascii="Garamond" w:eastAsia="Times New Roman" w:hAnsi="Garamond"/>
          <w:color w:val="000000"/>
          <w:kern w:val="0"/>
          <w:sz w:val="30"/>
          <w:szCs w:val="30"/>
          <w:lang w:eastAsia="it-IT"/>
        </w:rPr>
        <w:t>Autorità di Sistema Portuale dovrebbero effettuare il conteggio per il riconoscimento del contributo in questione, calcolando i soli turni di lavoro prestati in meno, rispetto al 2019, dai dipendenti che, al giorno del suo riconoscimento, ancora fanno part</w:t>
      </w:r>
      <w:r>
        <w:rPr>
          <w:rFonts w:ascii="Garamond" w:eastAsia="Times New Roman" w:hAnsi="Garamond"/>
          <w:color w:val="000000"/>
          <w:kern w:val="0"/>
          <w:sz w:val="30"/>
          <w:szCs w:val="30"/>
          <w:lang w:eastAsia="it-IT"/>
        </w:rPr>
        <w:t>e dell’impresa beneficiaria;</w:t>
      </w:r>
    </w:p>
    <w:p w14:paraId="1B93A29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il legislatore, nel predisporre l’intervento di sostegno al settore portuale in questione, finalizzato a fare fronte alla crisi derivante dal calo dei traffici nei porti italiani, ha ragionevolmente scelto di fare riferimento</w:t>
      </w:r>
      <w:r>
        <w:rPr>
          <w:rFonts w:ascii="Garamond" w:eastAsia="Times New Roman" w:hAnsi="Garamond"/>
          <w:color w:val="000000"/>
          <w:kern w:val="0"/>
          <w:sz w:val="30"/>
          <w:szCs w:val="30"/>
          <w:lang w:eastAsia="it-IT"/>
        </w:rPr>
        <w:t xml:space="preserve"> al parametro oggettivo della riduzione dei turni di lavoro in quanto indicativa di una restrizione dell’attività dell’impresa portuale autorizzata ex art. 16 della legge 28 gennaio 1994, n. 84;</w:t>
      </w:r>
    </w:p>
    <w:p w14:paraId="09D1822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il numero dei dipendenti, in teoria, può diminuire senza ch</w:t>
      </w:r>
      <w:r>
        <w:rPr>
          <w:rFonts w:ascii="Garamond" w:eastAsia="Times New Roman" w:hAnsi="Garamond"/>
          <w:color w:val="000000"/>
          <w:kern w:val="0"/>
          <w:sz w:val="30"/>
          <w:szCs w:val="30"/>
          <w:lang w:eastAsia="it-IT"/>
        </w:rPr>
        <w:t>e ciò abbia un effetto diretto sul numero dei turni prestati;</w:t>
      </w:r>
    </w:p>
    <w:p w14:paraId="457BD3D6" w14:textId="77777777" w:rsidR="00491DEC" w:rsidRDefault="005229DF">
      <w:pPr>
        <w:spacing w:after="0" w:line="520" w:lineRule="atLeast"/>
        <w:jc w:val="both"/>
      </w:pPr>
      <w:r>
        <w:rPr>
          <w:rFonts w:ascii="Garamond" w:eastAsia="Times New Roman" w:hAnsi="Garamond"/>
          <w:color w:val="000000"/>
          <w:kern w:val="0"/>
          <w:sz w:val="30"/>
          <w:szCs w:val="30"/>
          <w:lang w:eastAsia="it-IT"/>
        </w:rPr>
        <w:t>- la </w:t>
      </w:r>
      <w:r>
        <w:rPr>
          <w:rFonts w:ascii="Garamond" w:eastAsia="Times New Roman" w:hAnsi="Garamond"/>
          <w:i/>
          <w:iCs/>
          <w:color w:val="000000"/>
          <w:kern w:val="0"/>
          <w:sz w:val="30"/>
          <w:szCs w:val="30"/>
          <w:lang w:eastAsia="it-IT"/>
        </w:rPr>
        <w:t>ratio </w:t>
      </w:r>
      <w:r>
        <w:rPr>
          <w:rFonts w:ascii="Garamond" w:eastAsia="Times New Roman" w:hAnsi="Garamond"/>
          <w:color w:val="000000"/>
          <w:kern w:val="0"/>
          <w:sz w:val="30"/>
          <w:szCs w:val="30"/>
          <w:lang w:eastAsia="it-IT"/>
        </w:rPr>
        <w:t>della norma in esame non è quella volta alla conservazione dell’integrità della forza lavoro dell’impresa, bensì quella volta a compensare, in un periodo di crisi derivante dal calo d</w:t>
      </w:r>
      <w:r>
        <w:rPr>
          <w:rFonts w:ascii="Garamond" w:eastAsia="Times New Roman" w:hAnsi="Garamond"/>
          <w:color w:val="000000"/>
          <w:kern w:val="0"/>
          <w:sz w:val="30"/>
          <w:szCs w:val="30"/>
          <w:lang w:eastAsia="it-IT"/>
        </w:rPr>
        <w:t>ei traffici nei porti italiani, l’oggettiva riduzione dell’operatività dell’impresa che esegue le proprie prestazioni in favore del concessionario, lasciando tuttavia salva la libertà organizzativa dell’imprenditore;</w:t>
      </w:r>
    </w:p>
    <w:p w14:paraId="3A7A8A4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 tale riduzione è misurata - </w:t>
      </w:r>
      <w:r>
        <w:rPr>
          <w:rFonts w:ascii="Garamond" w:eastAsia="Times New Roman" w:hAnsi="Garamond"/>
          <w:color w:val="000000"/>
          <w:kern w:val="0"/>
          <w:sz w:val="30"/>
          <w:szCs w:val="30"/>
          <w:lang w:eastAsia="it-IT"/>
        </w:rPr>
        <w:t>senza che emergano profili di manifesta irragionevolezza della norma - facendo quindi esclusivo riferimento al numero di turni lavorativi prestati (dall’impresa) in meno rispetto all'anno 2019, a prescindere dal numero dei lavoratori impiegati e dalla perm</w:t>
      </w:r>
      <w:r>
        <w:rPr>
          <w:rFonts w:ascii="Garamond" w:eastAsia="Times New Roman" w:hAnsi="Garamond"/>
          <w:color w:val="000000"/>
          <w:kern w:val="0"/>
          <w:sz w:val="30"/>
          <w:szCs w:val="30"/>
          <w:lang w:eastAsia="it-IT"/>
        </w:rPr>
        <w:t>anenza del numero dei lavoratori in organico;</w:t>
      </w:r>
    </w:p>
    <w:p w14:paraId="0A171E2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B) relativamente al secondo motivo:</w:t>
      </w:r>
    </w:p>
    <w:p w14:paraId="33ECBB00"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l’AdSP non ha ritenuto influente sul riconoscimento del contributo la contrazione dell’organico dell’impresa rispetto al 2019, non essendo tale contrazione la causa diretta</w:t>
      </w:r>
      <w:r>
        <w:rPr>
          <w:rFonts w:ascii="Garamond" w:eastAsia="Times New Roman" w:hAnsi="Garamond"/>
          <w:color w:val="000000"/>
          <w:kern w:val="0"/>
          <w:sz w:val="30"/>
          <w:szCs w:val="30"/>
          <w:lang w:eastAsia="it-IT"/>
        </w:rPr>
        <w:t xml:space="preserve"> della riduzione dei turni di lavoro, dovendo semmai valorizzarsi il segnale di crisi aziendale (rientrante nel perimetro di applicazione dello strumento normativo emergenziale) rappresentato dalla contrazione delle occasioni di lavoro dell’impresa dovuta </w:t>
      </w:r>
      <w:r>
        <w:rPr>
          <w:rFonts w:ascii="Garamond" w:eastAsia="Times New Roman" w:hAnsi="Garamond"/>
          <w:color w:val="000000"/>
          <w:kern w:val="0"/>
          <w:sz w:val="30"/>
          <w:szCs w:val="30"/>
          <w:lang w:eastAsia="it-IT"/>
        </w:rPr>
        <w:t>al mutato contesto economico; ciò, non significa che l’AdSP abbia erogato il contributo previsto dall’art. 199 citato in favore di Uniport per averla ritenuta nel pieno di una crisi d’impresa alla quale l’amministrazione avrebbe voluto porre rimedio; inver</w:t>
      </w:r>
      <w:r>
        <w:rPr>
          <w:rFonts w:ascii="Garamond" w:eastAsia="Times New Roman" w:hAnsi="Garamond"/>
          <w:color w:val="000000"/>
          <w:kern w:val="0"/>
          <w:sz w:val="30"/>
          <w:szCs w:val="30"/>
          <w:lang w:eastAsia="it-IT"/>
        </w:rPr>
        <w:t>o, quest’ultima si è attenuta al disposto normativo commisurando il contributo al minor numero dei turni prestati dai dipendenti dell’impresa portuale, e non all’andamento economico della medesima;</w:t>
      </w:r>
    </w:p>
    <w:p w14:paraId="1BCEBA01"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C) relativamente al terzo motivo:</w:t>
      </w:r>
    </w:p>
    <w:p w14:paraId="64C28B62"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il contributo di cui a</w:t>
      </w:r>
      <w:r>
        <w:rPr>
          <w:rFonts w:ascii="Garamond" w:eastAsia="Times New Roman" w:hAnsi="Garamond"/>
          <w:color w:val="000000"/>
          <w:kern w:val="0"/>
          <w:sz w:val="30"/>
          <w:szCs w:val="30"/>
          <w:lang w:eastAsia="it-IT"/>
        </w:rPr>
        <w:t>ll’art. 199, comma 1, lett. b) del d.l. n. 34 del 2020, non rientra nel regime degli aiuti di Stato di cui agli artt. 107 e 108 del TFUE, poiché non si tratta di una misura correlata alla diminuzione del fatturato delle imprese, come invece quella prevista</w:t>
      </w:r>
      <w:r>
        <w:rPr>
          <w:rFonts w:ascii="Garamond" w:eastAsia="Times New Roman" w:hAnsi="Garamond"/>
          <w:color w:val="000000"/>
          <w:kern w:val="0"/>
          <w:sz w:val="30"/>
          <w:szCs w:val="30"/>
          <w:lang w:eastAsia="it-IT"/>
        </w:rPr>
        <w:t xml:space="preserve"> dal comma 10-ter del medesimo art.199, che è espressamente assoggettata dal legislatore al procedimento autorizzativo di cui all’art. 108 del TFUE;</w:t>
      </w:r>
    </w:p>
    <w:p w14:paraId="166A1255"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D) relativamente al quarto motivo, avanzato con i motivi aggiunti:</w:t>
      </w:r>
    </w:p>
    <w:p w14:paraId="7E4E17A6"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non rileva ai fini dell’erogazione del</w:t>
      </w:r>
      <w:r>
        <w:rPr>
          <w:rFonts w:ascii="Garamond" w:eastAsia="Times New Roman" w:hAnsi="Garamond"/>
          <w:color w:val="000000"/>
          <w:kern w:val="0"/>
          <w:sz w:val="30"/>
          <w:szCs w:val="30"/>
          <w:lang w:eastAsia="it-IT"/>
        </w:rPr>
        <w:t xml:space="preserve"> contributo la concreta situazione patrimoniale dell’impresa beneficiaria (che nell’anno 2023 ha raggiunto un livello di ricavi pari a quello del 2019, ante crisi pandemica), ma esclusivamente la riduzione, rispetto al 2019, del volume di traffico dell’imp</w:t>
      </w:r>
      <w:r>
        <w:rPr>
          <w:rFonts w:ascii="Garamond" w:eastAsia="Times New Roman" w:hAnsi="Garamond"/>
          <w:color w:val="000000"/>
          <w:kern w:val="0"/>
          <w:sz w:val="30"/>
          <w:szCs w:val="30"/>
          <w:lang w:eastAsia="it-IT"/>
        </w:rPr>
        <w:t>resa, testimoniato dalla riduzione dei turni lavorativi.</w:t>
      </w:r>
    </w:p>
    <w:p w14:paraId="14EE342B"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5.1. L’appellante osserva:</w:t>
      </w:r>
    </w:p>
    <w:p w14:paraId="115408A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I) la motivazione è contraddittoria, in specie con riferimento al rigetto del quarto motivo, poiché se il contributo è ritenuto funzionale a compensare un periodo di crisi </w:t>
      </w:r>
      <w:r>
        <w:rPr>
          <w:rFonts w:ascii="Garamond" w:eastAsia="Times New Roman" w:hAnsi="Garamond"/>
          <w:color w:val="000000"/>
          <w:kern w:val="0"/>
          <w:sz w:val="30"/>
          <w:szCs w:val="30"/>
          <w:lang w:eastAsia="it-IT"/>
        </w:rPr>
        <w:t>con riduzione dell’attività dell’impresa portuale, il riallineamento dei ricavi ai livelli ante pandemia avrebbe dovuto portare a constatare la fine del periodo di crisi e a negare l’erogazione del contributo;</w:t>
      </w:r>
    </w:p>
    <w:p w14:paraId="5FDC968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II) non può essere condivisa la tesi -pure esp</w:t>
      </w:r>
      <w:r>
        <w:rPr>
          <w:rFonts w:ascii="Garamond" w:eastAsia="Times New Roman" w:hAnsi="Garamond"/>
          <w:color w:val="000000"/>
          <w:kern w:val="0"/>
          <w:sz w:val="30"/>
          <w:szCs w:val="30"/>
          <w:lang w:eastAsia="it-IT"/>
        </w:rPr>
        <w:t>osta in sentenza al punto 2.1, con riferimento al primo motivo- secondo cui il numero dei turni lavorati è indipendente dal numero dei lavoratori: se è vero che ogni lavoratore può fare più di uno dei quattro turni giornalieri, è altrettanto vero che ci sa</w:t>
      </w:r>
      <w:r>
        <w:rPr>
          <w:rFonts w:ascii="Garamond" w:eastAsia="Times New Roman" w:hAnsi="Garamond"/>
          <w:color w:val="000000"/>
          <w:kern w:val="0"/>
          <w:sz w:val="30"/>
          <w:szCs w:val="30"/>
          <w:lang w:eastAsia="it-IT"/>
        </w:rPr>
        <w:t xml:space="preserve">rà sempre un rapporto di proporzionalità tra numero di turni e numero di dipendenti, visto che ogni lavoratore non può fare più di due turni giornalieri (di sei ore ciascuno) e non tutti i giorni della settimana in virtù del tetto massimo di ore di lavoro </w:t>
      </w:r>
      <w:r>
        <w:rPr>
          <w:rFonts w:ascii="Garamond" w:eastAsia="Times New Roman" w:hAnsi="Garamond"/>
          <w:color w:val="000000"/>
          <w:kern w:val="0"/>
          <w:sz w:val="30"/>
          <w:szCs w:val="30"/>
          <w:lang w:eastAsia="it-IT"/>
        </w:rPr>
        <w:t>(36 ore settimanali ordinarie su sei giorni lavorativi e non più di una media di 48 ore settimanali nei sei mesi, con riposo obbligatorio di 11 ore dopo le 24 ore);</w:t>
      </w:r>
    </w:p>
    <w:p w14:paraId="2C87AB2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III) la sentenza non tiene conto del fatto che, per il calcolo dell’indennizzo, AdSP ha con</w:t>
      </w:r>
      <w:r>
        <w:rPr>
          <w:rFonts w:ascii="Garamond" w:eastAsia="Times New Roman" w:hAnsi="Garamond"/>
          <w:color w:val="000000"/>
          <w:kern w:val="0"/>
          <w:sz w:val="30"/>
          <w:szCs w:val="30"/>
          <w:lang w:eastAsia="it-IT"/>
        </w:rPr>
        <w:t>teggiato solo i turni prestati dai lavoratori di Uniport senza considerare quelli effettuati dai lavoratori somministrati dall’Agenzia di lavoro temporaneo ex art. 17 della legge n. 84/1994, mentre avrebbe dovuto tenere conto di questi ultimi se avesse vol</w:t>
      </w:r>
      <w:r>
        <w:rPr>
          <w:rFonts w:ascii="Garamond" w:eastAsia="Times New Roman" w:hAnsi="Garamond"/>
          <w:color w:val="000000"/>
          <w:kern w:val="0"/>
          <w:sz w:val="30"/>
          <w:szCs w:val="30"/>
          <w:lang w:eastAsia="it-IT"/>
        </w:rPr>
        <w:t>uto effettivamente stabilire un nesso tra numero dei turni e volume dei traffici e quindi delle risultanze economiche;</w:t>
      </w:r>
    </w:p>
    <w:p w14:paraId="6BBE0FD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IV) la sentenza non spiega due profili della questione da considerarsi dirimenti:</w:t>
      </w:r>
    </w:p>
    <w:p w14:paraId="7573BEE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a) il primo profilo attiene al sistema di calcolo dell’</w:t>
      </w:r>
      <w:r>
        <w:rPr>
          <w:rFonts w:ascii="Garamond" w:eastAsia="Times New Roman" w:hAnsi="Garamond"/>
          <w:color w:val="000000"/>
          <w:kern w:val="0"/>
          <w:sz w:val="30"/>
          <w:szCs w:val="30"/>
          <w:lang w:eastAsia="it-IT"/>
        </w:rPr>
        <w:t>indennizzo basato sulla riduzione dei turni: se il legislatore avesse inteso indennizzare gli operatori portuali per il calo dei traffici nei porti italiani avrebbe dovuto introdurre un beneficio economico ancorato al calo del fatturato;</w:t>
      </w:r>
    </w:p>
    <w:p w14:paraId="746F2BC8" w14:textId="77777777" w:rsidR="00491DEC" w:rsidRDefault="005229DF">
      <w:pPr>
        <w:spacing w:after="0" w:line="520" w:lineRule="atLeast"/>
        <w:jc w:val="both"/>
      </w:pPr>
      <w:r>
        <w:rPr>
          <w:rFonts w:ascii="Garamond" w:eastAsia="Times New Roman" w:hAnsi="Garamond"/>
          <w:color w:val="000000"/>
          <w:kern w:val="0"/>
          <w:sz w:val="30"/>
          <w:szCs w:val="30"/>
          <w:lang w:eastAsia="it-IT"/>
        </w:rPr>
        <w:t>b) il secondo prof</w:t>
      </w:r>
      <w:r>
        <w:rPr>
          <w:rFonts w:ascii="Garamond" w:eastAsia="Times New Roman" w:hAnsi="Garamond"/>
          <w:color w:val="000000"/>
          <w:kern w:val="0"/>
          <w:sz w:val="30"/>
          <w:szCs w:val="30"/>
          <w:lang w:eastAsia="it-IT"/>
        </w:rPr>
        <w:t>ilo attiene al fatto che il beneficio economico non è stato accordato a tutte le imprese autorizzate a svolgere operazioni portuali ai sensi dell’art. 16 della legge n. 84/1994, bensì solo a quelle “</w:t>
      </w:r>
      <w:r>
        <w:rPr>
          <w:rFonts w:ascii="Garamond" w:eastAsia="Times New Roman" w:hAnsi="Garamond"/>
          <w:i/>
          <w:iCs/>
          <w:color w:val="000000"/>
          <w:kern w:val="0"/>
          <w:sz w:val="30"/>
          <w:szCs w:val="30"/>
          <w:lang w:eastAsia="it-IT"/>
        </w:rPr>
        <w:t xml:space="preserve">titolari di contratti d’appalto di attività comprese nel </w:t>
      </w:r>
      <w:r>
        <w:rPr>
          <w:rFonts w:ascii="Garamond" w:eastAsia="Times New Roman" w:hAnsi="Garamond"/>
          <w:i/>
          <w:iCs/>
          <w:color w:val="000000"/>
          <w:kern w:val="0"/>
          <w:sz w:val="30"/>
          <w:szCs w:val="30"/>
          <w:lang w:eastAsia="it-IT"/>
        </w:rPr>
        <w:t>ciclo operativo ai sensi dell’art. 18, comma 7, ultimo periodo della medesima legge n. 84 del 1994</w:t>
      </w:r>
      <w:r>
        <w:rPr>
          <w:rFonts w:ascii="Garamond" w:eastAsia="Times New Roman" w:hAnsi="Garamond"/>
          <w:color w:val="000000"/>
          <w:kern w:val="0"/>
          <w:sz w:val="30"/>
          <w:szCs w:val="30"/>
          <w:lang w:eastAsia="it-IT"/>
        </w:rPr>
        <w:t>”: l’intenzione non era perciò quella di indennizzare le imprese impiegate nelle operazioni portuali per il calo di lavoro derivante dalla diminuzione dei tra</w:t>
      </w:r>
      <w:r>
        <w:rPr>
          <w:rFonts w:ascii="Garamond" w:eastAsia="Times New Roman" w:hAnsi="Garamond"/>
          <w:color w:val="000000"/>
          <w:kern w:val="0"/>
          <w:sz w:val="30"/>
          <w:szCs w:val="30"/>
          <w:lang w:eastAsia="it-IT"/>
        </w:rPr>
        <w:t>ffici, ma quello di preservare l’operatività dei concessionari terminalisti.</w:t>
      </w:r>
    </w:p>
    <w:p w14:paraId="67EF9AB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Da quanto sopra, l’appellante trae la conclusione che, per logica, giustizia sostanziale e corretta gestione dei fondi pubblici, il conteggio dei turni in meno lavorati rispetto a</w:t>
      </w:r>
      <w:r>
        <w:rPr>
          <w:rFonts w:ascii="Garamond" w:eastAsia="Times New Roman" w:hAnsi="Garamond"/>
          <w:color w:val="000000"/>
          <w:kern w:val="0"/>
          <w:sz w:val="30"/>
          <w:szCs w:val="30"/>
          <w:lang w:eastAsia="it-IT"/>
        </w:rPr>
        <w:t xml:space="preserve"> quelli del 2019 debba essere effettuato al netto di quelli riferibili a chi non è più dipendente dell’impresa portuale, come sostenuto con i motivi di ricorso in primo grado.</w:t>
      </w:r>
    </w:p>
    <w:p w14:paraId="6E0EDFC0"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5.2. Il motivo è fondato, così come sono fondati i motivi di ricorso ed il motiv</w:t>
      </w:r>
      <w:r>
        <w:rPr>
          <w:rFonts w:ascii="Garamond" w:eastAsia="Times New Roman" w:hAnsi="Garamond"/>
          <w:color w:val="000000"/>
          <w:kern w:val="0"/>
          <w:sz w:val="30"/>
          <w:szCs w:val="30"/>
          <w:lang w:eastAsia="it-IT"/>
        </w:rPr>
        <w:t>o aggiunto in primo grado (sintetizzati al punto 1.1 della presente sentenza).</w:t>
      </w:r>
    </w:p>
    <w:p w14:paraId="4BAACC53" w14:textId="77777777" w:rsidR="00491DEC" w:rsidRDefault="005229DF">
      <w:pPr>
        <w:spacing w:after="0" w:line="520" w:lineRule="atLeast"/>
        <w:jc w:val="both"/>
      </w:pPr>
      <w:r>
        <w:rPr>
          <w:rFonts w:ascii="Garamond" w:eastAsia="Times New Roman" w:hAnsi="Garamond"/>
          <w:color w:val="000000"/>
          <w:kern w:val="0"/>
          <w:sz w:val="30"/>
          <w:szCs w:val="30"/>
          <w:lang w:eastAsia="it-IT"/>
        </w:rPr>
        <w:t>5.2.1. La normativa di riferimento ha origine evidente nella situazione emergenziale determinata dalla pandemia da Covid -19, che ha reso necessarie le misure urgenti previste d</w:t>
      </w:r>
      <w:r>
        <w:rPr>
          <w:rFonts w:ascii="Garamond" w:eastAsia="Times New Roman" w:hAnsi="Garamond"/>
          <w:color w:val="000000"/>
          <w:kern w:val="0"/>
          <w:sz w:val="30"/>
          <w:szCs w:val="30"/>
          <w:lang w:eastAsia="it-IT"/>
        </w:rPr>
        <w:t>al d.l. n. 34/2020 (“</w:t>
      </w:r>
      <w:r>
        <w:rPr>
          <w:rFonts w:ascii="Garamond" w:eastAsia="Times New Roman" w:hAnsi="Garamond"/>
          <w:i/>
          <w:iCs/>
          <w:color w:val="000000"/>
          <w:kern w:val="0"/>
          <w:sz w:val="30"/>
          <w:szCs w:val="30"/>
          <w:lang w:eastAsia="it-IT"/>
        </w:rPr>
        <w:t>Misure urgenti in materia di salute, sostegno al lavoro e all’economica, nonché di politiche sociali connesse all’emergenza epidemiologica da COVID-19</w:t>
      </w:r>
      <w:r>
        <w:rPr>
          <w:rFonts w:ascii="Garamond" w:eastAsia="Times New Roman" w:hAnsi="Garamond"/>
          <w:color w:val="000000"/>
          <w:kern w:val="0"/>
          <w:sz w:val="30"/>
          <w:szCs w:val="30"/>
          <w:lang w:eastAsia="it-IT"/>
        </w:rPr>
        <w:t>”), convertito dalla legge n. 77/2020. Tra queste misure rientra il contributo previs</w:t>
      </w:r>
      <w:r>
        <w:rPr>
          <w:rFonts w:ascii="Garamond" w:eastAsia="Times New Roman" w:hAnsi="Garamond"/>
          <w:color w:val="000000"/>
          <w:kern w:val="0"/>
          <w:sz w:val="30"/>
          <w:szCs w:val="30"/>
          <w:lang w:eastAsia="it-IT"/>
        </w:rPr>
        <w:t>to dall’art. 199, rubricato “</w:t>
      </w:r>
      <w:r>
        <w:rPr>
          <w:rFonts w:ascii="Garamond" w:eastAsia="Times New Roman" w:hAnsi="Garamond"/>
          <w:i/>
          <w:iCs/>
          <w:color w:val="000000"/>
          <w:kern w:val="0"/>
          <w:sz w:val="30"/>
          <w:szCs w:val="30"/>
          <w:lang w:eastAsia="it-IT"/>
        </w:rPr>
        <w:t>Disposizioni in materia di lavoro portuale e di trasporti marittimi</w:t>
      </w:r>
      <w:r>
        <w:rPr>
          <w:rFonts w:ascii="Garamond" w:eastAsia="Times New Roman" w:hAnsi="Garamond"/>
          <w:color w:val="000000"/>
          <w:kern w:val="0"/>
          <w:sz w:val="30"/>
          <w:szCs w:val="30"/>
          <w:lang w:eastAsia="it-IT"/>
        </w:rPr>
        <w:t>” che, al comma 1, prevede “</w:t>
      </w:r>
      <w:r>
        <w:rPr>
          <w:rFonts w:ascii="Garamond" w:eastAsia="Times New Roman" w:hAnsi="Garamond"/>
          <w:i/>
          <w:iCs/>
          <w:color w:val="000000"/>
          <w:kern w:val="0"/>
          <w:sz w:val="30"/>
          <w:szCs w:val="30"/>
          <w:lang w:eastAsia="it-IT"/>
        </w:rPr>
        <w:t xml:space="preserve">In considerazione del calo dei traffici nei porti italiani derivanti dall’emergenza COVID-19, […] b) […] Fino a </w:t>
      </w:r>
      <w:r>
        <w:rPr>
          <w:rFonts w:ascii="Garamond" w:eastAsia="Times New Roman" w:hAnsi="Garamond"/>
          <w:i/>
          <w:iCs/>
          <w:color w:val="000000"/>
          <w:kern w:val="0"/>
          <w:sz w:val="30"/>
          <w:szCs w:val="30"/>
          <w:lang w:eastAsia="it-IT"/>
        </w:rPr>
        <w:t>concorrenza dei limiti di spesa previsti dal primo periodo ed a valere sulle risorse di cui al medesimo periodo, l’Autorità di sistema portuale […] può altresì riconoscere in favore di imprese autorizzate ai sensi dell'articolo 16 della legge 28 gennaio 19</w:t>
      </w:r>
      <w:r>
        <w:rPr>
          <w:rFonts w:ascii="Garamond" w:eastAsia="Times New Roman" w:hAnsi="Garamond"/>
          <w:i/>
          <w:iCs/>
          <w:color w:val="000000"/>
          <w:kern w:val="0"/>
          <w:sz w:val="30"/>
          <w:szCs w:val="30"/>
          <w:lang w:eastAsia="it-IT"/>
        </w:rPr>
        <w:t>94, n. 84, titolari di contratti d'appalto di attività comprese nel ciclo operativo ai sensi dell'articolo 18, comma 7, ultimo periodo, della medesima legge n. 84 del 1994, un contributo, pari a euro 90 per ogni turno lavorativo prestato in meno rispetto a</w:t>
      </w:r>
      <w:r>
        <w:rPr>
          <w:rFonts w:ascii="Garamond" w:eastAsia="Times New Roman" w:hAnsi="Garamond"/>
          <w:i/>
          <w:iCs/>
          <w:color w:val="000000"/>
          <w:kern w:val="0"/>
          <w:sz w:val="30"/>
          <w:szCs w:val="30"/>
          <w:lang w:eastAsia="it-IT"/>
        </w:rPr>
        <w:t>l corrispondente mese dell'anno 2019, riconducibile alle mutate condizioni economiche degli scali del sistema portuale italiano conseguenti all'emergenza da COVID-19</w:t>
      </w:r>
      <w:r>
        <w:rPr>
          <w:rFonts w:ascii="Garamond" w:eastAsia="Times New Roman" w:hAnsi="Garamond"/>
          <w:color w:val="000000"/>
          <w:kern w:val="0"/>
          <w:sz w:val="30"/>
          <w:szCs w:val="30"/>
          <w:lang w:eastAsia="it-IT"/>
        </w:rPr>
        <w:t>”. Come detto, la disposizione è stata resa applicabile anche negli anni successivi, consen</w:t>
      </w:r>
      <w:r>
        <w:rPr>
          <w:rFonts w:ascii="Garamond" w:eastAsia="Times New Roman" w:hAnsi="Garamond"/>
          <w:color w:val="000000"/>
          <w:kern w:val="0"/>
          <w:sz w:val="30"/>
          <w:szCs w:val="30"/>
          <w:lang w:eastAsia="it-IT"/>
        </w:rPr>
        <w:t>tendo, con provvedimenti legislativi </w:t>
      </w:r>
      <w:r>
        <w:rPr>
          <w:rFonts w:ascii="Garamond" w:eastAsia="Times New Roman" w:hAnsi="Garamond"/>
          <w:i/>
          <w:iCs/>
          <w:color w:val="000000"/>
          <w:kern w:val="0"/>
          <w:sz w:val="30"/>
          <w:szCs w:val="30"/>
          <w:lang w:eastAsia="it-IT"/>
        </w:rPr>
        <w:t>ad hoc</w:t>
      </w:r>
      <w:r>
        <w:rPr>
          <w:rFonts w:ascii="Garamond" w:eastAsia="Times New Roman" w:hAnsi="Garamond"/>
          <w:color w:val="000000"/>
          <w:kern w:val="0"/>
          <w:sz w:val="30"/>
          <w:szCs w:val="30"/>
          <w:lang w:eastAsia="it-IT"/>
        </w:rPr>
        <w:t>, l’erogazione del contributo nel limite complessivo di 3 milioni di euro per l’anno 2023 e di 2 milioni di euro per gli anni 2024 e 2025, sempre nell’ambito delle risorse disponibili a legislazione vigente destin</w:t>
      </w:r>
      <w:r>
        <w:rPr>
          <w:rFonts w:ascii="Garamond" w:eastAsia="Times New Roman" w:hAnsi="Garamond"/>
          <w:color w:val="000000"/>
          <w:kern w:val="0"/>
          <w:sz w:val="30"/>
          <w:szCs w:val="30"/>
          <w:lang w:eastAsia="it-IT"/>
        </w:rPr>
        <w:t>ate allo scopo e nel rispetto degli equilibri di bilancio.</w:t>
      </w:r>
    </w:p>
    <w:p w14:paraId="726D647D" w14:textId="77777777" w:rsidR="00491DEC" w:rsidRDefault="005229DF">
      <w:pPr>
        <w:spacing w:after="0" w:line="520" w:lineRule="atLeast"/>
        <w:jc w:val="both"/>
      </w:pPr>
      <w:r>
        <w:rPr>
          <w:rFonts w:ascii="Garamond" w:eastAsia="Times New Roman" w:hAnsi="Garamond"/>
          <w:color w:val="000000"/>
          <w:kern w:val="0"/>
          <w:sz w:val="30"/>
          <w:szCs w:val="30"/>
          <w:lang w:eastAsia="it-IT"/>
        </w:rPr>
        <w:t xml:space="preserve">5.1.1. Le amministrazioni interessate hanno seguito un’interpretazione strettamente letterale della norma, basandosi anche sul fatto che, nel primo periodo della stessa disposizione, ad un diverso </w:t>
      </w:r>
      <w:r>
        <w:rPr>
          <w:rFonts w:ascii="Garamond" w:eastAsia="Times New Roman" w:hAnsi="Garamond"/>
          <w:color w:val="000000"/>
          <w:kern w:val="0"/>
          <w:sz w:val="30"/>
          <w:szCs w:val="30"/>
          <w:lang w:eastAsia="it-IT"/>
        </w:rPr>
        <w:t>soggetto (fornitore di lavoro portuale di cui all’art. 17 della legge 28 gennaio 1994 n. 84) il contributo è riconosciuto “</w:t>
      </w:r>
      <w:r>
        <w:rPr>
          <w:rFonts w:ascii="Garamond" w:eastAsia="Times New Roman" w:hAnsi="Garamond"/>
          <w:i/>
          <w:iCs/>
          <w:color w:val="000000"/>
          <w:kern w:val="0"/>
          <w:sz w:val="30"/>
          <w:szCs w:val="30"/>
          <w:lang w:eastAsia="it-IT"/>
        </w:rPr>
        <w:t>per ogni lavoratore in relazione a ciascuna giornata di lavoro prestata in meno rispetto al corrispondente mese dell’anno 2019 […]</w:t>
      </w:r>
      <w:r>
        <w:rPr>
          <w:rFonts w:ascii="Garamond" w:eastAsia="Times New Roman" w:hAnsi="Garamond"/>
          <w:color w:val="000000"/>
          <w:kern w:val="0"/>
          <w:sz w:val="30"/>
          <w:szCs w:val="30"/>
          <w:lang w:eastAsia="it-IT"/>
        </w:rPr>
        <w:t xml:space="preserve">”, </w:t>
      </w:r>
      <w:r>
        <w:rPr>
          <w:rFonts w:ascii="Garamond" w:eastAsia="Times New Roman" w:hAnsi="Garamond"/>
          <w:color w:val="000000"/>
          <w:kern w:val="0"/>
          <w:sz w:val="30"/>
          <w:szCs w:val="30"/>
          <w:lang w:eastAsia="it-IT"/>
        </w:rPr>
        <w:t>laddove nessun riferimento ai “lavoratori” è contenuto nella disposizione in commento, che valorizza il “</w:t>
      </w:r>
      <w:r>
        <w:rPr>
          <w:rFonts w:ascii="Garamond" w:eastAsia="Times New Roman" w:hAnsi="Garamond"/>
          <w:i/>
          <w:iCs/>
          <w:color w:val="000000"/>
          <w:kern w:val="0"/>
          <w:sz w:val="30"/>
          <w:szCs w:val="30"/>
          <w:lang w:eastAsia="it-IT"/>
        </w:rPr>
        <w:t>turno lavorativo prestato in meno rispetto al corrispondente mese dell’anno 2019</w:t>
      </w:r>
      <w:r>
        <w:rPr>
          <w:rFonts w:ascii="Garamond" w:eastAsia="Times New Roman" w:hAnsi="Garamond"/>
          <w:color w:val="000000"/>
          <w:kern w:val="0"/>
          <w:sz w:val="30"/>
          <w:szCs w:val="30"/>
          <w:lang w:eastAsia="it-IT"/>
        </w:rPr>
        <w:t>”.</w:t>
      </w:r>
    </w:p>
    <w:p w14:paraId="69B51588"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L’interpretazione basata sulla sola lettera della legge non appare c</w:t>
      </w:r>
      <w:r>
        <w:rPr>
          <w:rFonts w:ascii="Garamond" w:eastAsia="Times New Roman" w:hAnsi="Garamond"/>
          <w:color w:val="000000"/>
          <w:kern w:val="0"/>
          <w:sz w:val="30"/>
          <w:szCs w:val="30"/>
          <w:lang w:eastAsia="it-IT"/>
        </w:rPr>
        <w:t>onvincente, per le ragioni che di seguito si espongono.</w:t>
      </w:r>
    </w:p>
    <w:p w14:paraId="6307E1A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5.1.2. Premesso che va condiviso il rilievo degli appellati che il contributo è un beneficio erogato in favore dell’impresa in relazione ai turni di lavoro effettuati in meno e che il numero di questi</w:t>
      </w:r>
      <w:r>
        <w:rPr>
          <w:rFonts w:ascii="Garamond" w:eastAsia="Times New Roman" w:hAnsi="Garamond"/>
          <w:color w:val="000000"/>
          <w:kern w:val="0"/>
          <w:sz w:val="30"/>
          <w:szCs w:val="30"/>
          <w:lang w:eastAsia="it-IT"/>
        </w:rPr>
        <w:t xml:space="preserve"> è condizionato dal volume di traffico, non è invece condivisibile -come rilevato dall’appellante- che si possa prescindere del tutto dalla considerazione del personale dipendente impiegato.</w:t>
      </w:r>
    </w:p>
    <w:p w14:paraId="4068253F" w14:textId="77777777" w:rsidR="00491DEC" w:rsidRDefault="005229DF">
      <w:pPr>
        <w:spacing w:after="0" w:line="520" w:lineRule="atLeast"/>
        <w:jc w:val="both"/>
      </w:pPr>
      <w:r>
        <w:rPr>
          <w:rFonts w:ascii="Garamond" w:eastAsia="Times New Roman" w:hAnsi="Garamond"/>
          <w:color w:val="000000"/>
          <w:kern w:val="0"/>
          <w:sz w:val="30"/>
          <w:szCs w:val="30"/>
          <w:lang w:eastAsia="it-IT"/>
        </w:rPr>
        <w:t>Sebbene con effetti non quantificabili </w:t>
      </w:r>
      <w:r>
        <w:rPr>
          <w:rFonts w:ascii="Garamond" w:eastAsia="Times New Roman" w:hAnsi="Garamond"/>
          <w:i/>
          <w:iCs/>
          <w:color w:val="000000"/>
          <w:kern w:val="0"/>
          <w:sz w:val="30"/>
          <w:szCs w:val="30"/>
          <w:lang w:eastAsia="it-IT"/>
        </w:rPr>
        <w:t>a priori</w:t>
      </w:r>
      <w:r>
        <w:rPr>
          <w:rFonts w:ascii="Garamond" w:eastAsia="Times New Roman" w:hAnsi="Garamond"/>
          <w:color w:val="000000"/>
          <w:kern w:val="0"/>
          <w:sz w:val="30"/>
          <w:szCs w:val="30"/>
          <w:lang w:eastAsia="it-IT"/>
        </w:rPr>
        <w:t>, è innegabile che</w:t>
      </w:r>
      <w:r>
        <w:rPr>
          <w:rFonts w:ascii="Garamond" w:eastAsia="Times New Roman" w:hAnsi="Garamond"/>
          <w:color w:val="000000"/>
          <w:kern w:val="0"/>
          <w:sz w:val="30"/>
          <w:szCs w:val="30"/>
          <w:lang w:eastAsia="it-IT"/>
        </w:rPr>
        <w:t xml:space="preserve"> la riduzione del personale condizioni, a sua volta, il numero dei turni effettuati dai lavoratori, dal momento che, pur potendo darsi l’incremento del turno medio di lavoro per singolo dipendente (tale perciò che la riduzione dei lavoratori non determini </w:t>
      </w:r>
      <w:r>
        <w:rPr>
          <w:rFonts w:ascii="Garamond" w:eastAsia="Times New Roman" w:hAnsi="Garamond"/>
          <w:color w:val="000000"/>
          <w:kern w:val="0"/>
          <w:sz w:val="30"/>
          <w:szCs w:val="30"/>
          <w:lang w:eastAsia="it-IT"/>
        </w:rPr>
        <w:t>proporzionalmente la riduzione dei turni lavorati), vi sono delle previsioni del CCNL da applicare -evidenziate, senza smentita, dalla difesa di Seatrag- che non consentono che i lavoratori dipendenti rimasti in servizio siano chiamati a svolgere lavoro st</w:t>
      </w:r>
      <w:r>
        <w:rPr>
          <w:rFonts w:ascii="Garamond" w:eastAsia="Times New Roman" w:hAnsi="Garamond"/>
          <w:color w:val="000000"/>
          <w:kern w:val="0"/>
          <w:sz w:val="30"/>
          <w:szCs w:val="30"/>
          <w:lang w:eastAsia="it-IT"/>
        </w:rPr>
        <w:t>raordinario oltre certi limiti.</w:t>
      </w:r>
    </w:p>
    <w:p w14:paraId="7669C57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D’altronde, il criterio di calcolo sostenuto dalla Seatrag consente di tenere conto dell’incremento del turno medio di lavoro dei dipendenti rimasti in servizio (ovvero dei dipendenti che sono subentrati in sostituzione di q</w:t>
      </w:r>
      <w:r>
        <w:rPr>
          <w:rFonts w:ascii="Garamond" w:eastAsia="Times New Roman" w:hAnsi="Garamond"/>
          <w:color w:val="000000"/>
          <w:kern w:val="0"/>
          <w:sz w:val="30"/>
          <w:szCs w:val="30"/>
          <w:lang w:eastAsia="it-IT"/>
        </w:rPr>
        <w:t>uelli già in servizio: cfr. in proposito l’esempio di cui alla pag. 10 dell’Avvocatura di Stato, non correttamente impostato), effettuando il computo relativamente a ciascun dipendente ed evitando perciò di basarsi su un confronto tra numero di turni in as</w:t>
      </w:r>
      <w:r>
        <w:rPr>
          <w:rFonts w:ascii="Garamond" w:eastAsia="Times New Roman" w:hAnsi="Garamond"/>
          <w:color w:val="000000"/>
          <w:kern w:val="0"/>
          <w:sz w:val="30"/>
          <w:szCs w:val="30"/>
          <w:lang w:eastAsia="it-IT"/>
        </w:rPr>
        <w:t>soluto; cioè, evitando di prendere a parametro di riferimento dell’anno in considerazione turni che non sarebbero stati comunque effettuabili per mancanza dei lavoratori non più dipendenti dalla società (né sostituiti da quest’ultima con lavoratori suoi di</w:t>
      </w:r>
      <w:r>
        <w:rPr>
          <w:rFonts w:ascii="Garamond" w:eastAsia="Times New Roman" w:hAnsi="Garamond"/>
          <w:color w:val="000000"/>
          <w:kern w:val="0"/>
          <w:sz w:val="30"/>
          <w:szCs w:val="30"/>
          <w:lang w:eastAsia="it-IT"/>
        </w:rPr>
        <w:t>pendenti, esclusi i somministrati, come si dirà).</w:t>
      </w:r>
    </w:p>
    <w:p w14:paraId="52C94F6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In proposito giova aggiungere che non appare correttamente impostato nemmeno l’esempio svolto alle pagine 19 e 20 della memoria dell’Avvocatura di Stato, sol che si consideri che -ai fini del calcolo del co</w:t>
      </w:r>
      <w:r>
        <w:rPr>
          <w:rFonts w:ascii="Garamond" w:eastAsia="Times New Roman" w:hAnsi="Garamond"/>
          <w:color w:val="000000"/>
          <w:kern w:val="0"/>
          <w:sz w:val="30"/>
          <w:szCs w:val="30"/>
          <w:lang w:eastAsia="it-IT"/>
        </w:rPr>
        <w:t>ntributo- rilevano, come detto, anche i turni straordinari effettuati dai lavoratori (rimasti) alle dipendenze della società. Infatti, se anche con meno dipendenti l’impresa è in grado di prestare -grazie al lavoro straordinario di questi ultimi- gli stess</w:t>
      </w:r>
      <w:r>
        <w:rPr>
          <w:rFonts w:ascii="Garamond" w:eastAsia="Times New Roman" w:hAnsi="Garamond"/>
          <w:color w:val="000000"/>
          <w:kern w:val="0"/>
          <w:sz w:val="30"/>
          <w:szCs w:val="30"/>
          <w:lang w:eastAsia="it-IT"/>
        </w:rPr>
        <w:t>i turni, è evidente che in questa ipotesi il contributo non è dovuto.</w:t>
      </w:r>
    </w:p>
    <w:p w14:paraId="0FF909B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Pertanto, è vero che la riduzione del personale non è di per sé indice di ridotta operatività, ma è altrettanto vero che di essa si debba tenere conto, quando si procede al raffronto dei</w:t>
      </w:r>
      <w:r>
        <w:rPr>
          <w:rFonts w:ascii="Garamond" w:eastAsia="Times New Roman" w:hAnsi="Garamond"/>
          <w:color w:val="000000"/>
          <w:kern w:val="0"/>
          <w:sz w:val="30"/>
          <w:szCs w:val="30"/>
          <w:lang w:eastAsia="it-IT"/>
        </w:rPr>
        <w:t xml:space="preserve"> turni effettuati nei due anni di riferimento, nei termini sopra esposti, cioè escludendo dal calcolo dell’indennizzo i turni riferibili a personale non più occupato nell’impresa.</w:t>
      </w:r>
    </w:p>
    <w:p w14:paraId="5FF5F097" w14:textId="77777777" w:rsidR="00491DEC" w:rsidRDefault="005229DF">
      <w:pPr>
        <w:spacing w:after="0" w:line="520" w:lineRule="atLeast"/>
        <w:jc w:val="both"/>
      </w:pPr>
      <w:r>
        <w:rPr>
          <w:rFonts w:ascii="Garamond" w:eastAsia="Times New Roman" w:hAnsi="Garamond"/>
          <w:color w:val="000000"/>
          <w:kern w:val="0"/>
          <w:sz w:val="30"/>
          <w:szCs w:val="30"/>
          <w:lang w:eastAsia="it-IT"/>
        </w:rPr>
        <w:t>5.1.3. Dato ciò, è evidente che l’interpretazione strettamente letterale del</w:t>
      </w:r>
      <w:r>
        <w:rPr>
          <w:rFonts w:ascii="Garamond" w:eastAsia="Times New Roman" w:hAnsi="Garamond"/>
          <w:color w:val="000000"/>
          <w:kern w:val="0"/>
          <w:sz w:val="30"/>
          <w:szCs w:val="30"/>
          <w:lang w:eastAsia="it-IT"/>
        </w:rPr>
        <w:t>la disposizione non consente di modularne correttamente l’applicazione nel caso concreto, se non tenendo conto della </w:t>
      </w:r>
      <w:r>
        <w:rPr>
          <w:rFonts w:ascii="Garamond" w:eastAsia="Times New Roman" w:hAnsi="Garamond"/>
          <w:i/>
          <w:iCs/>
          <w:color w:val="000000"/>
          <w:kern w:val="0"/>
          <w:sz w:val="30"/>
          <w:szCs w:val="30"/>
          <w:lang w:eastAsia="it-IT"/>
        </w:rPr>
        <w:t>ratio</w:t>
      </w:r>
      <w:r>
        <w:rPr>
          <w:rFonts w:ascii="Garamond" w:eastAsia="Times New Roman" w:hAnsi="Garamond"/>
          <w:color w:val="000000"/>
          <w:kern w:val="0"/>
          <w:sz w:val="30"/>
          <w:szCs w:val="30"/>
          <w:lang w:eastAsia="it-IT"/>
        </w:rPr>
        <w:t> perseguita dal legislatore, come desumibile sia dall’individuazione dei soggetti beneficiari del contributo sia dal confronto con alt</w:t>
      </w:r>
      <w:r>
        <w:rPr>
          <w:rFonts w:ascii="Garamond" w:eastAsia="Times New Roman" w:hAnsi="Garamond"/>
          <w:color w:val="000000"/>
          <w:kern w:val="0"/>
          <w:sz w:val="30"/>
          <w:szCs w:val="30"/>
          <w:lang w:eastAsia="it-IT"/>
        </w:rPr>
        <w:t>ri benefici riconosciuti in considerazione del “</w:t>
      </w:r>
      <w:r>
        <w:rPr>
          <w:rFonts w:ascii="Garamond" w:eastAsia="Times New Roman" w:hAnsi="Garamond"/>
          <w:i/>
          <w:iCs/>
          <w:color w:val="000000"/>
          <w:kern w:val="0"/>
          <w:sz w:val="30"/>
          <w:szCs w:val="30"/>
          <w:lang w:eastAsia="it-IT"/>
        </w:rPr>
        <w:t>calo dei traffici nei porti italiani</w:t>
      </w:r>
      <w:r>
        <w:rPr>
          <w:rFonts w:ascii="Garamond" w:eastAsia="Times New Roman" w:hAnsi="Garamond"/>
          <w:color w:val="000000"/>
          <w:kern w:val="0"/>
          <w:sz w:val="30"/>
          <w:szCs w:val="30"/>
          <w:lang w:eastAsia="it-IT"/>
        </w:rPr>
        <w:t>” (come da incipit dell’art. 199 in commento).</w:t>
      </w:r>
    </w:p>
    <w:p w14:paraId="791BC584" w14:textId="77777777" w:rsidR="00491DEC" w:rsidRDefault="005229DF">
      <w:pPr>
        <w:spacing w:after="0" w:line="520" w:lineRule="atLeast"/>
        <w:jc w:val="both"/>
      </w:pPr>
      <w:r>
        <w:rPr>
          <w:rFonts w:ascii="Garamond" w:eastAsia="Times New Roman" w:hAnsi="Garamond"/>
          <w:color w:val="000000"/>
          <w:kern w:val="0"/>
          <w:sz w:val="30"/>
          <w:szCs w:val="30"/>
          <w:lang w:eastAsia="it-IT"/>
        </w:rPr>
        <w:t>In proposito, la stessa Avvocatura di Stato riconosce che il fine che la norma intende garantire è “</w:t>
      </w:r>
      <w:r>
        <w:rPr>
          <w:rFonts w:ascii="Garamond" w:eastAsia="Times New Roman" w:hAnsi="Garamond"/>
          <w:i/>
          <w:iCs/>
          <w:color w:val="000000"/>
          <w:kern w:val="0"/>
          <w:sz w:val="30"/>
          <w:szCs w:val="30"/>
          <w:lang w:eastAsia="it-IT"/>
        </w:rPr>
        <w:t>la piena operatività dell</w:t>
      </w:r>
      <w:r>
        <w:rPr>
          <w:rFonts w:ascii="Garamond" w:eastAsia="Times New Roman" w:hAnsi="Garamond"/>
          <w:i/>
          <w:iCs/>
          <w:color w:val="000000"/>
          <w:kern w:val="0"/>
          <w:sz w:val="30"/>
          <w:szCs w:val="30"/>
          <w:lang w:eastAsia="it-IT"/>
        </w:rPr>
        <w:t>’impresa che esegue il lavoro in favore del terminalista</w:t>
      </w:r>
      <w:r>
        <w:rPr>
          <w:rFonts w:ascii="Garamond" w:eastAsia="Times New Roman" w:hAnsi="Garamond"/>
          <w:color w:val="000000"/>
          <w:kern w:val="0"/>
          <w:sz w:val="30"/>
          <w:szCs w:val="30"/>
          <w:lang w:eastAsia="it-IT"/>
        </w:rPr>
        <w:t>” (così, tra l’altro, alla pag. 10 della memoria ex art. 73 c.p.a.).</w:t>
      </w:r>
    </w:p>
    <w:p w14:paraId="3975520A" w14:textId="77777777" w:rsidR="00491DEC" w:rsidRDefault="005229DF">
      <w:pPr>
        <w:spacing w:after="0" w:line="520" w:lineRule="atLeast"/>
        <w:jc w:val="both"/>
      </w:pPr>
      <w:r>
        <w:rPr>
          <w:rFonts w:ascii="Garamond" w:eastAsia="Times New Roman" w:hAnsi="Garamond"/>
          <w:color w:val="000000"/>
          <w:kern w:val="0"/>
          <w:sz w:val="30"/>
          <w:szCs w:val="30"/>
          <w:lang w:eastAsia="it-IT"/>
        </w:rPr>
        <w:t>Tale affermazione va precisata considerando che, poiché -come evidenziato dall’appellante- il beneficio economico non è stato accor</w:t>
      </w:r>
      <w:r>
        <w:rPr>
          <w:rFonts w:ascii="Garamond" w:eastAsia="Times New Roman" w:hAnsi="Garamond"/>
          <w:color w:val="000000"/>
          <w:kern w:val="0"/>
          <w:sz w:val="30"/>
          <w:szCs w:val="30"/>
          <w:lang w:eastAsia="it-IT"/>
        </w:rPr>
        <w:t>dato a tutte le imprese autorizzate a svolgere operazioni portuali ai sensi dell’art. 16 della legge n. 84/1994, bensì solo a quelle “</w:t>
      </w:r>
      <w:r>
        <w:rPr>
          <w:rFonts w:ascii="Garamond" w:eastAsia="Times New Roman" w:hAnsi="Garamond"/>
          <w:i/>
          <w:iCs/>
          <w:color w:val="000000"/>
          <w:kern w:val="0"/>
          <w:sz w:val="30"/>
          <w:szCs w:val="30"/>
          <w:lang w:eastAsia="it-IT"/>
        </w:rPr>
        <w:t>titolari di contratti d’appalto di attività comprese nel ciclo operativo ai sensi dell’art. 18, comma 7, ultimo periodo de</w:t>
      </w:r>
      <w:r>
        <w:rPr>
          <w:rFonts w:ascii="Garamond" w:eastAsia="Times New Roman" w:hAnsi="Garamond"/>
          <w:i/>
          <w:iCs/>
          <w:color w:val="000000"/>
          <w:kern w:val="0"/>
          <w:sz w:val="30"/>
          <w:szCs w:val="30"/>
          <w:lang w:eastAsia="it-IT"/>
        </w:rPr>
        <w:t>lla medesima legge n. 84 del 1994</w:t>
      </w:r>
      <w:r>
        <w:rPr>
          <w:rFonts w:ascii="Garamond" w:eastAsia="Times New Roman" w:hAnsi="Garamond"/>
          <w:color w:val="000000"/>
          <w:kern w:val="0"/>
          <w:sz w:val="30"/>
          <w:szCs w:val="30"/>
          <w:lang w:eastAsia="it-IT"/>
        </w:rPr>
        <w:t xml:space="preserve">”, l’intenzione finale della misura di sostegno è quella di preservare l’operatività dei concessionari terminalisti, garantendo al contempo i livelli occupazionali ante-pandemia (e ante eventi bellici) delle imprese legate </w:t>
      </w:r>
      <w:r>
        <w:rPr>
          <w:rFonts w:ascii="Garamond" w:eastAsia="Times New Roman" w:hAnsi="Garamond"/>
          <w:color w:val="000000"/>
          <w:kern w:val="0"/>
          <w:sz w:val="30"/>
          <w:szCs w:val="30"/>
          <w:lang w:eastAsia="it-IT"/>
        </w:rPr>
        <w:t>a questi ultimi con i detti contratti di appalto.</w:t>
      </w:r>
    </w:p>
    <w:p w14:paraId="64D9117D"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Il sostegno economico mira ad indennizzare le imprese appaltatrici, come appunto la Seatrag e la Uniport, per i costi del personale sostenuti nel periodo di parziale inattività (riscontrata appunto dal calo</w:t>
      </w:r>
      <w:r>
        <w:rPr>
          <w:rFonts w:ascii="Garamond" w:eastAsia="Times New Roman" w:hAnsi="Garamond"/>
          <w:color w:val="000000"/>
          <w:kern w:val="0"/>
          <w:sz w:val="30"/>
          <w:szCs w:val="30"/>
          <w:lang w:eastAsia="it-IT"/>
        </w:rPr>
        <w:t xml:space="preserve"> dei turni di lavoro), in modo che la relativa dotazione resti invariata (o tendenzialmente invariata), sì da poter fare fronte tempestivamente alla ripresa della domanda da parte delle concessionarie terminaliste nell’evenienza del ritorno alla “normalità</w:t>
      </w:r>
      <w:r>
        <w:rPr>
          <w:rFonts w:ascii="Garamond" w:eastAsia="Times New Roman" w:hAnsi="Garamond"/>
          <w:color w:val="000000"/>
          <w:kern w:val="0"/>
          <w:sz w:val="30"/>
          <w:szCs w:val="30"/>
          <w:lang w:eastAsia="it-IT"/>
        </w:rPr>
        <w:t>” dei traffici (e al contempo preservare le piante organiche delle destinatarie del beneficio).</w:t>
      </w:r>
    </w:p>
    <w:p w14:paraId="7680C9AA"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In sintesi, va condiviso l’assunto di fondo espresso dalla Seatrag nel primo motivo di ricorso secondo cui la legge ha individuato un meccanismo </w:t>
      </w:r>
      <w:r>
        <w:rPr>
          <w:rFonts w:ascii="Garamond" w:eastAsia="Times New Roman" w:hAnsi="Garamond"/>
          <w:color w:val="000000"/>
          <w:kern w:val="0"/>
          <w:sz w:val="30"/>
          <w:szCs w:val="30"/>
          <w:lang w:eastAsia="it-IT"/>
        </w:rPr>
        <w:t>economico di tipo compensativo finalizzato a garantire il mantenimento della forza lavoro e la piena operatività delle imprese che forniscono prestazioni in favore dei concessionari ex art. 18 l. n. 84 del 1994.</w:t>
      </w:r>
    </w:p>
    <w:p w14:paraId="45C5761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In proposito, va perciò precisato che - atte</w:t>
      </w:r>
      <w:r>
        <w:rPr>
          <w:rFonts w:ascii="Garamond" w:eastAsia="Times New Roman" w:hAnsi="Garamond"/>
          <w:color w:val="000000"/>
          <w:kern w:val="0"/>
          <w:sz w:val="30"/>
          <w:szCs w:val="30"/>
          <w:lang w:eastAsia="it-IT"/>
        </w:rPr>
        <w:t>sa la finalità di tutelare questi ultimi, nella prospettiva della pronta ripresa dei traffici marittimi al cessare del periodo emergenziale - merita di essere avvantaggiata l’impresa appaltatrice che continua a mantenere alle sue dipendenze i lavoratori (t</w:t>
      </w:r>
      <w:r>
        <w:rPr>
          <w:rFonts w:ascii="Garamond" w:eastAsia="Times New Roman" w:hAnsi="Garamond"/>
          <w:color w:val="000000"/>
          <w:kern w:val="0"/>
          <w:sz w:val="30"/>
          <w:szCs w:val="30"/>
          <w:lang w:eastAsia="it-IT"/>
        </w:rPr>
        <w:t>emporaneamente) non necessari a causa dell’atrofia (provvisoria) del mercato, mantenendo quindi stabile il livello occupazionale. Per contro, l’interpretazione qui avversata finisce per tradire manifestamente tale finalità, premiando l’impresa, come Unipor</w:t>
      </w:r>
      <w:r>
        <w:rPr>
          <w:rFonts w:ascii="Garamond" w:eastAsia="Times New Roman" w:hAnsi="Garamond"/>
          <w:color w:val="000000"/>
          <w:kern w:val="0"/>
          <w:sz w:val="30"/>
          <w:szCs w:val="30"/>
          <w:lang w:eastAsia="it-IT"/>
        </w:rPr>
        <w:t>t, che ha praticato una riduzione del personale dipendente.</w:t>
      </w:r>
    </w:p>
    <w:p w14:paraId="43514460" w14:textId="77777777" w:rsidR="00491DEC" w:rsidRDefault="005229DF">
      <w:pPr>
        <w:spacing w:after="0" w:line="520" w:lineRule="atLeast"/>
        <w:jc w:val="both"/>
      </w:pPr>
      <w:r>
        <w:rPr>
          <w:rFonts w:ascii="Garamond" w:eastAsia="Times New Roman" w:hAnsi="Garamond"/>
          <w:color w:val="000000"/>
          <w:kern w:val="0"/>
          <w:sz w:val="30"/>
          <w:szCs w:val="30"/>
          <w:lang w:eastAsia="it-IT"/>
        </w:rPr>
        <w:t>Con ciò non si intende affatto affermare -come sembra supporre la difesa dell’Autorità- che tale pratica di riduzione del personale sia stata consapevolmente attuata da Uniport al (solo) fine di c</w:t>
      </w:r>
      <w:r>
        <w:rPr>
          <w:rFonts w:ascii="Garamond" w:eastAsia="Times New Roman" w:hAnsi="Garamond"/>
          <w:color w:val="000000"/>
          <w:kern w:val="0"/>
          <w:sz w:val="30"/>
          <w:szCs w:val="30"/>
          <w:lang w:eastAsia="it-IT"/>
        </w:rPr>
        <w:t>onseguire il contributo </w:t>
      </w:r>
      <w:r>
        <w:rPr>
          <w:rFonts w:ascii="Garamond" w:eastAsia="Times New Roman" w:hAnsi="Garamond"/>
          <w:i/>
          <w:iCs/>
          <w:color w:val="000000"/>
          <w:kern w:val="0"/>
          <w:sz w:val="30"/>
          <w:szCs w:val="30"/>
          <w:lang w:eastAsia="it-IT"/>
        </w:rPr>
        <w:t>de quo</w:t>
      </w:r>
      <w:r>
        <w:rPr>
          <w:rFonts w:ascii="Garamond" w:eastAsia="Times New Roman" w:hAnsi="Garamond"/>
          <w:color w:val="000000"/>
          <w:kern w:val="0"/>
          <w:sz w:val="30"/>
          <w:szCs w:val="30"/>
          <w:lang w:eastAsia="it-IT"/>
        </w:rPr>
        <w:t>, bensì soltanto di prendere atto che l’interpretazione del ridetto art. 199 seguita dalle amministrazioni finisce per “premiare” la riduzione del personale dipendente, conseguenza del tutto illogica, invece impedita dall’inte</w:t>
      </w:r>
      <w:r>
        <w:rPr>
          <w:rFonts w:ascii="Garamond" w:eastAsia="Times New Roman" w:hAnsi="Garamond"/>
          <w:color w:val="000000"/>
          <w:kern w:val="0"/>
          <w:sz w:val="30"/>
          <w:szCs w:val="30"/>
          <w:lang w:eastAsia="it-IT"/>
        </w:rPr>
        <w:t>rpretazione sostenuta dall’appellante.</w:t>
      </w:r>
    </w:p>
    <w:p w14:paraId="1FB8EACC" w14:textId="77777777" w:rsidR="00491DEC" w:rsidRDefault="005229DF">
      <w:pPr>
        <w:spacing w:after="0" w:line="520" w:lineRule="atLeast"/>
        <w:jc w:val="both"/>
      </w:pPr>
      <w:r>
        <w:rPr>
          <w:rFonts w:ascii="Garamond" w:eastAsia="Times New Roman" w:hAnsi="Garamond"/>
          <w:color w:val="000000"/>
          <w:kern w:val="0"/>
          <w:sz w:val="30"/>
          <w:szCs w:val="30"/>
          <w:lang w:eastAsia="it-IT"/>
        </w:rPr>
        <w:t>In tale prospettiva, non rileva che la riduzione del personale sia l’effetto di una scelta imprenditoriale o conseguenza essa stessa del periodo di crisi aziendale (che anzi è data per presupposta dal legislatore); ri</w:t>
      </w:r>
      <w:r>
        <w:rPr>
          <w:rFonts w:ascii="Garamond" w:eastAsia="Times New Roman" w:hAnsi="Garamond"/>
          <w:color w:val="000000"/>
          <w:kern w:val="0"/>
          <w:sz w:val="30"/>
          <w:szCs w:val="30"/>
          <w:lang w:eastAsia="it-IT"/>
        </w:rPr>
        <w:t>leva piuttosto che si tratti di un effetto che il legislatore -proprio in considerazione della crisi determinata dal calo dei traffici nei porti italiani- intendeva evitare col riconoscimento del beneficio </w:t>
      </w:r>
      <w:r>
        <w:rPr>
          <w:rFonts w:ascii="Garamond" w:eastAsia="Times New Roman" w:hAnsi="Garamond"/>
          <w:i/>
          <w:iCs/>
          <w:color w:val="000000"/>
          <w:kern w:val="0"/>
          <w:sz w:val="30"/>
          <w:szCs w:val="30"/>
          <w:lang w:eastAsia="it-IT"/>
        </w:rPr>
        <w:t>de quo</w:t>
      </w:r>
      <w:r>
        <w:rPr>
          <w:rFonts w:ascii="Garamond" w:eastAsia="Times New Roman" w:hAnsi="Garamond"/>
          <w:color w:val="000000"/>
          <w:kern w:val="0"/>
          <w:sz w:val="30"/>
          <w:szCs w:val="30"/>
          <w:lang w:eastAsia="it-IT"/>
        </w:rPr>
        <w:t>, destinato, in ultima analisi, a compensare</w:t>
      </w:r>
      <w:r>
        <w:rPr>
          <w:rFonts w:ascii="Garamond" w:eastAsia="Times New Roman" w:hAnsi="Garamond"/>
          <w:color w:val="000000"/>
          <w:kern w:val="0"/>
          <w:sz w:val="30"/>
          <w:szCs w:val="30"/>
          <w:lang w:eastAsia="it-IT"/>
        </w:rPr>
        <w:t xml:space="preserve"> la voce di spesa collegata al mantenimento del personale dipendente.</w:t>
      </w:r>
    </w:p>
    <w:p w14:paraId="1414585F" w14:textId="77777777" w:rsidR="00491DEC" w:rsidRDefault="005229DF">
      <w:pPr>
        <w:spacing w:after="0" w:line="520" w:lineRule="atLeast"/>
        <w:jc w:val="both"/>
      </w:pPr>
      <w:r>
        <w:rPr>
          <w:rFonts w:ascii="Garamond" w:eastAsia="Times New Roman" w:hAnsi="Garamond"/>
          <w:color w:val="000000"/>
          <w:kern w:val="0"/>
          <w:sz w:val="30"/>
          <w:szCs w:val="30"/>
          <w:lang w:eastAsia="it-IT"/>
        </w:rPr>
        <w:t>5.1.4. Siffatta </w:t>
      </w:r>
      <w:r>
        <w:rPr>
          <w:rFonts w:ascii="Garamond" w:eastAsia="Times New Roman" w:hAnsi="Garamond"/>
          <w:i/>
          <w:iCs/>
          <w:color w:val="000000"/>
          <w:kern w:val="0"/>
          <w:sz w:val="30"/>
          <w:szCs w:val="30"/>
          <w:lang w:eastAsia="it-IT"/>
        </w:rPr>
        <w:t>ratio legis</w:t>
      </w:r>
      <w:r>
        <w:rPr>
          <w:rFonts w:ascii="Garamond" w:eastAsia="Times New Roman" w:hAnsi="Garamond"/>
          <w:color w:val="000000"/>
          <w:kern w:val="0"/>
          <w:sz w:val="30"/>
          <w:szCs w:val="30"/>
          <w:lang w:eastAsia="it-IT"/>
        </w:rPr>
        <w:t>, desunta dalla qualificazione soggettiva dei beneficiari, trova riscontro nell’ovvia considerazione dell’appellante che, se il legislatore avesse invece intes</w:t>
      </w:r>
      <w:r>
        <w:rPr>
          <w:rFonts w:ascii="Garamond" w:eastAsia="Times New Roman" w:hAnsi="Garamond"/>
          <w:color w:val="000000"/>
          <w:kern w:val="0"/>
          <w:sz w:val="30"/>
          <w:szCs w:val="30"/>
          <w:lang w:eastAsia="it-IT"/>
        </w:rPr>
        <w:t xml:space="preserve">o tutelare direttamente le imprese autorizzate, titolari di contratti di appalto di attività comprese nel ciclo operativo ai sensi dell’art. 18, comma 7, ultimo periodo della legge n. 84 del 1994, avrebbe commisurato il contributo al calo del fatturato di </w:t>
      </w:r>
      <w:r>
        <w:rPr>
          <w:rFonts w:ascii="Garamond" w:eastAsia="Times New Roman" w:hAnsi="Garamond"/>
          <w:color w:val="000000"/>
          <w:kern w:val="0"/>
          <w:sz w:val="30"/>
          <w:szCs w:val="30"/>
          <w:lang w:eastAsia="it-IT"/>
        </w:rPr>
        <w:t>queste ultime.</w:t>
      </w:r>
    </w:p>
    <w:p w14:paraId="6B8EFA31"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L’effetto distorsivo dell’interpretazione seguita dall’Autorità e dal Ministero è reso evidente, per un verso, dal dato (in sé rimasto incontestato) che il calcolo dell’indennizzo a favore di Uniport non ha tenuto conto dei turni prestati da</w:t>
      </w:r>
      <w:r>
        <w:rPr>
          <w:rFonts w:ascii="Garamond" w:eastAsia="Times New Roman" w:hAnsi="Garamond"/>
          <w:color w:val="000000"/>
          <w:kern w:val="0"/>
          <w:sz w:val="30"/>
          <w:szCs w:val="30"/>
          <w:lang w:eastAsia="it-IT"/>
        </w:rPr>
        <w:t>i lavoratori temporanei (cioè somministrati da parte di altra impresa autorizzata ai sensi dell’art. 17 della legge n. 84/1994) e, per altro verso, dal confronto -evidenziato col motivo aggiunto in primo grado- tra il livello dei ricavi di Uniport nel 2019</w:t>
      </w:r>
      <w:r>
        <w:rPr>
          <w:rFonts w:ascii="Garamond" w:eastAsia="Times New Roman" w:hAnsi="Garamond"/>
          <w:color w:val="000000"/>
          <w:kern w:val="0"/>
          <w:sz w:val="30"/>
          <w:szCs w:val="30"/>
          <w:lang w:eastAsia="it-IT"/>
        </w:rPr>
        <w:t xml:space="preserve"> e quello nel 2023: entrambi i profili dimostrano che la commisurazione del contributo ai turni di lavoro non è finalizzata a tenere conto del volume dei traffici a tutela delle imprese destinatarie del beneficio, bensì, come detto, a preservarne i livelli</w:t>
      </w:r>
      <w:r>
        <w:rPr>
          <w:rFonts w:ascii="Garamond" w:eastAsia="Times New Roman" w:hAnsi="Garamond"/>
          <w:color w:val="000000"/>
          <w:kern w:val="0"/>
          <w:sz w:val="30"/>
          <w:szCs w:val="30"/>
          <w:lang w:eastAsia="it-IT"/>
        </w:rPr>
        <w:t xml:space="preserve"> occupazionali ante pandemia – eventi bellici, per garantirne la piena operatività cessate tali emergenze.</w:t>
      </w:r>
    </w:p>
    <w:p w14:paraId="6721272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Giova precisare che la possibilità per le imprese di ricorrere al lavoro somministrato e l’esclusione dei turni dei lavoratori somministrati dal calc</w:t>
      </w:r>
      <w:r>
        <w:rPr>
          <w:rFonts w:ascii="Garamond" w:eastAsia="Times New Roman" w:hAnsi="Garamond"/>
          <w:color w:val="000000"/>
          <w:kern w:val="0"/>
          <w:sz w:val="30"/>
          <w:szCs w:val="30"/>
          <w:lang w:eastAsia="it-IT"/>
        </w:rPr>
        <w:t>olo dell’indennizzo ben possono essere valorizzate ai fini della decisione, contrariamente a quanto sostenuto dagli appellati. Non è corretto il richiamo dell’art. 104, comma 1, c.p.a. da parte di questi ultimi: non si tratta infatti di una nuova “domanda”</w:t>
      </w:r>
      <w:r>
        <w:rPr>
          <w:rFonts w:ascii="Garamond" w:eastAsia="Times New Roman" w:hAnsi="Garamond"/>
          <w:color w:val="000000"/>
          <w:kern w:val="0"/>
          <w:sz w:val="30"/>
          <w:szCs w:val="30"/>
          <w:lang w:eastAsia="it-IT"/>
        </w:rPr>
        <w:t>, che la Seatrag abbia proposto per la prima volta in appello, cioè di un autonomo motivo di impugnativa, bensì di un’argomentazione del tutto coerente con le deduzioni poste a fondamento dei motivi di gravame e tale da poter essere affrontata anche d’uffi</w:t>
      </w:r>
      <w:r>
        <w:rPr>
          <w:rFonts w:ascii="Garamond" w:eastAsia="Times New Roman" w:hAnsi="Garamond"/>
          <w:color w:val="000000"/>
          <w:kern w:val="0"/>
          <w:sz w:val="30"/>
          <w:szCs w:val="30"/>
          <w:lang w:eastAsia="it-IT"/>
        </w:rPr>
        <w:t>cio da parte del giudice sulla base del dato normativo.</w:t>
      </w:r>
    </w:p>
    <w:p w14:paraId="7DE7FF05" w14:textId="77777777" w:rsidR="00491DEC" w:rsidRDefault="005229DF">
      <w:pPr>
        <w:spacing w:after="0" w:line="520" w:lineRule="atLeast"/>
        <w:jc w:val="both"/>
      </w:pPr>
      <w:r>
        <w:rPr>
          <w:rFonts w:ascii="Garamond" w:eastAsia="Times New Roman" w:hAnsi="Garamond"/>
          <w:color w:val="000000"/>
          <w:kern w:val="0"/>
          <w:sz w:val="30"/>
          <w:szCs w:val="30"/>
          <w:lang w:eastAsia="it-IT"/>
        </w:rPr>
        <w:t>5.1.5. Nella prospettiva di cui sopra perde rilievo il confronto -sostenuto dalle parti appellate e condiviso dal primo giudice- fra la terminologia adoperata dal legislatore nell’art. 199, comma 1, l</w:t>
      </w:r>
      <w:r>
        <w:rPr>
          <w:rFonts w:ascii="Garamond" w:eastAsia="Times New Roman" w:hAnsi="Garamond"/>
          <w:color w:val="000000"/>
          <w:kern w:val="0"/>
          <w:sz w:val="30"/>
          <w:szCs w:val="30"/>
          <w:lang w:eastAsia="it-IT"/>
        </w:rPr>
        <w:t>ett. b), nel primo periodo (riferito al soggetto fornitore di lavoro portuale di cui all’art. 17 della legge n. 84 del 1994) e, invece, nel secondo periodo, qui in commento: la </w:t>
      </w:r>
      <w:r>
        <w:rPr>
          <w:rFonts w:ascii="Garamond" w:eastAsia="Times New Roman" w:hAnsi="Garamond"/>
          <w:i/>
          <w:iCs/>
          <w:color w:val="000000"/>
          <w:kern w:val="0"/>
          <w:sz w:val="30"/>
          <w:szCs w:val="30"/>
          <w:lang w:eastAsia="it-IT"/>
        </w:rPr>
        <w:t>ratio</w:t>
      </w:r>
      <w:r>
        <w:rPr>
          <w:rFonts w:ascii="Garamond" w:eastAsia="Times New Roman" w:hAnsi="Garamond"/>
          <w:color w:val="000000"/>
          <w:kern w:val="0"/>
          <w:sz w:val="30"/>
          <w:szCs w:val="30"/>
          <w:lang w:eastAsia="it-IT"/>
        </w:rPr>
        <w:t xml:space="preserve"> è identica per entrambe le tipologie di imprese, essendo quella di </w:t>
      </w:r>
      <w:r>
        <w:rPr>
          <w:rFonts w:ascii="Garamond" w:eastAsia="Times New Roman" w:hAnsi="Garamond"/>
          <w:color w:val="000000"/>
          <w:kern w:val="0"/>
          <w:sz w:val="30"/>
          <w:szCs w:val="30"/>
          <w:lang w:eastAsia="it-IT"/>
        </w:rPr>
        <w:t>mantenere inalterato il livello occupazionale nel periodo emergenziale; tuttavia per le imprese che somministrano lavoro temporaneo è perseguita commisurando il contributo al singolo lavoratore mantenuto in servizio, per le imprese coinvolte invece nel pre</w:t>
      </w:r>
      <w:r>
        <w:rPr>
          <w:rFonts w:ascii="Garamond" w:eastAsia="Times New Roman" w:hAnsi="Garamond"/>
          <w:color w:val="000000"/>
          <w:kern w:val="0"/>
          <w:sz w:val="30"/>
          <w:szCs w:val="30"/>
          <w:lang w:eastAsia="it-IT"/>
        </w:rPr>
        <w:t>sente giudizio è perseguita mediante il riferimento ai turni di lavoro, perché -essendo presupposto il mantenimento del rapporto di lavoro dipendente- si intende compensare la parziale inattività del relativo personale; ed appunto al fine di “misurare” tal</w:t>
      </w:r>
      <w:r>
        <w:rPr>
          <w:rFonts w:ascii="Garamond" w:eastAsia="Times New Roman" w:hAnsi="Garamond"/>
          <w:color w:val="000000"/>
          <w:kern w:val="0"/>
          <w:sz w:val="30"/>
          <w:szCs w:val="30"/>
          <w:lang w:eastAsia="it-IT"/>
        </w:rPr>
        <w:t>e inattività si tiene conto della riduzione dei turni di lavoro.</w:t>
      </w:r>
    </w:p>
    <w:p w14:paraId="482F6CA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5.2. Tutto quanto sopra rende evidente la fondatezza anche dei motivi secondo e terzo dell’originario ricorso di Seatrag e l’erroneità della decisione di rigetto nel merito:</w:t>
      </w:r>
    </w:p>
    <w:p w14:paraId="5E6957C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le argomentazio</w:t>
      </w:r>
      <w:r>
        <w:rPr>
          <w:rFonts w:ascii="Garamond" w:eastAsia="Times New Roman" w:hAnsi="Garamond"/>
          <w:color w:val="000000"/>
          <w:kern w:val="0"/>
          <w:sz w:val="30"/>
          <w:szCs w:val="30"/>
          <w:lang w:eastAsia="it-IT"/>
        </w:rPr>
        <w:t>ni svolte dall’AdSP nella nota del 7 marzo 2022 e la risposta adesiva del Ministero collegano il contributo in commento a una crisi aziendale (eventualmente testimoniata dalla riorganizzazione o riduzione della forza lavoro), laddove, come detto, esso pres</w:t>
      </w:r>
      <w:r>
        <w:rPr>
          <w:rFonts w:ascii="Garamond" w:eastAsia="Times New Roman" w:hAnsi="Garamond"/>
          <w:color w:val="000000"/>
          <w:kern w:val="0"/>
          <w:sz w:val="30"/>
          <w:szCs w:val="30"/>
          <w:lang w:eastAsia="it-IT"/>
        </w:rPr>
        <w:t>cinde dall’andamento economico dell’impresa beneficiaria;</w:t>
      </w:r>
    </w:p>
    <w:p w14:paraId="0A5A58B3"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se si fosse trattato di un aiuto alle imprese in difficoltà economica vi sarebbe stata violazione degli artt. 107 e 108 del Trattato sul Funzionamento dell’Unione Europea, trattandosi all’evidenza</w:t>
      </w:r>
      <w:r>
        <w:rPr>
          <w:rFonts w:ascii="Garamond" w:eastAsia="Times New Roman" w:hAnsi="Garamond"/>
          <w:color w:val="000000"/>
          <w:kern w:val="0"/>
          <w:sz w:val="30"/>
          <w:szCs w:val="30"/>
          <w:lang w:eastAsia="it-IT"/>
        </w:rPr>
        <w:t xml:space="preserve"> di una forma di aiuto pubblico, in violazione dell’art. 107 e del procedimento di cui all’art. 108 del TFUE.</w:t>
      </w:r>
    </w:p>
    <w:p w14:paraId="47097CDB"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6. L’appello va quindi accolto.</w:t>
      </w:r>
    </w:p>
    <w:p w14:paraId="5207AF61"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6.1. Le argomentazioni sopra svolte rendono palese l’ammissibilità del gravame, dato che -contrariamente a quanto </w:t>
      </w:r>
      <w:r>
        <w:rPr>
          <w:rFonts w:ascii="Garamond" w:eastAsia="Times New Roman" w:hAnsi="Garamond"/>
          <w:color w:val="000000"/>
          <w:kern w:val="0"/>
          <w:sz w:val="30"/>
          <w:szCs w:val="30"/>
          <w:lang w:eastAsia="it-IT"/>
        </w:rPr>
        <w:t>eccepito dalla difesa di Uniport- esso non appare affatto generico -essendo perfettamente basato sulla critica allo svolgimento argomentativo della decisione di primo grado- né lacunoso quanto alle contestazioni -essendo queste chiaramente desumibili dall’</w:t>
      </w:r>
      <w:r>
        <w:rPr>
          <w:rFonts w:ascii="Garamond" w:eastAsia="Times New Roman" w:hAnsi="Garamond"/>
          <w:color w:val="000000"/>
          <w:kern w:val="0"/>
          <w:sz w:val="30"/>
          <w:szCs w:val="30"/>
          <w:lang w:eastAsia="it-IT"/>
        </w:rPr>
        <w:t>iter seguito dal ricorso in appello, che presuppone logicamente le doglianze svolte nel ricorso introduttivo e per motivi aggiunti del primo grado, da intendersi perciò richiamate.</w:t>
      </w:r>
    </w:p>
    <w:p w14:paraId="0BE00391"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In proposito, va precisato che l’art. 101, comma 1, c.p.a. non impone affat</w:t>
      </w:r>
      <w:r>
        <w:rPr>
          <w:rFonts w:ascii="Garamond" w:eastAsia="Times New Roman" w:hAnsi="Garamond"/>
          <w:color w:val="000000"/>
          <w:kern w:val="0"/>
          <w:sz w:val="30"/>
          <w:szCs w:val="30"/>
          <w:lang w:eastAsia="it-IT"/>
        </w:rPr>
        <w:t>to la riproposizione testuale dei motivi oggetto della decisione di primo grado (pur se la prassi compilativa dei ricorsi in appello tende a tale pedissequa, a volte sovrabbondante, riproposizione), quanto piuttosto la critica specifica dei “capi della sen</w:t>
      </w:r>
      <w:r>
        <w:rPr>
          <w:rFonts w:ascii="Garamond" w:eastAsia="Times New Roman" w:hAnsi="Garamond"/>
          <w:color w:val="000000"/>
          <w:kern w:val="0"/>
          <w:sz w:val="30"/>
          <w:szCs w:val="30"/>
          <w:lang w:eastAsia="it-IT"/>
        </w:rPr>
        <w:t>tenza gravata”; critica, che perfettamente ha svolto l’appellante Seatrag.</w:t>
      </w:r>
    </w:p>
    <w:p w14:paraId="2BF597A9"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6.2. In riforma quindi della sentenza appellata, vanno accolti il ricorso e i motivi aggiunti proposti dalla Seatrag Autostrade del Mare s.r.l. e, per l’effetto, gli atti impugnati </w:t>
      </w:r>
      <w:r>
        <w:rPr>
          <w:rFonts w:ascii="Garamond" w:eastAsia="Times New Roman" w:hAnsi="Garamond"/>
          <w:color w:val="000000"/>
          <w:kern w:val="0"/>
          <w:sz w:val="30"/>
          <w:szCs w:val="30"/>
          <w:lang w:eastAsia="it-IT"/>
        </w:rPr>
        <w:t>vanno annullati.</w:t>
      </w:r>
    </w:p>
    <w:p w14:paraId="07C7FAE6"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 xml:space="preserve">7. Le spese dei due gradi di giudizio seguono la soccombenza nei rapporti tra la ricorrente e le amministrazioni resistenti, con condanna di queste ultime, in solido, al pagamento in favore della società Seatrag Autostrade del Mare s.r.l. </w:t>
      </w:r>
      <w:r>
        <w:rPr>
          <w:rFonts w:ascii="Garamond" w:eastAsia="Times New Roman" w:hAnsi="Garamond"/>
          <w:color w:val="000000"/>
          <w:kern w:val="0"/>
          <w:sz w:val="30"/>
          <w:szCs w:val="30"/>
          <w:lang w:eastAsia="it-IT"/>
        </w:rPr>
        <w:t>dell’importo complessivo di € 6.000,00 (di cui € 2.000,00 per il primo grado ed € 4.000,00 per il secondo grado), oltre accessori come per legge.</w:t>
      </w:r>
    </w:p>
    <w:p w14:paraId="1DF10E7E"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7.1. Sussistono giusti motivi di compensazione delle spese processuali tra la ricorrente e la controinteressat</w:t>
      </w:r>
      <w:r>
        <w:rPr>
          <w:rFonts w:ascii="Garamond" w:eastAsia="Times New Roman" w:hAnsi="Garamond"/>
          <w:color w:val="000000"/>
          <w:kern w:val="0"/>
          <w:sz w:val="30"/>
          <w:szCs w:val="30"/>
          <w:lang w:eastAsia="it-IT"/>
        </w:rPr>
        <w:t>a, avendo questa beneficiato di un’errata interpretazione normativa imputabile alle amministrazioni predette.</w:t>
      </w:r>
    </w:p>
    <w:p w14:paraId="43C5AF72" w14:textId="77777777" w:rsidR="00491DEC" w:rsidRDefault="005229DF">
      <w:pPr>
        <w:spacing w:after="0" w:line="540" w:lineRule="atLeast"/>
        <w:jc w:val="center"/>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P.Q.M.</w:t>
      </w:r>
    </w:p>
    <w:p w14:paraId="11E880AF"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Il Consiglio di Stato in sede giurisdizionale (Sezione Quinta), definitivamente pronunciando sull'appello, come in epigrafe proposto, lo ac</w:t>
      </w:r>
      <w:r>
        <w:rPr>
          <w:rFonts w:ascii="Garamond" w:eastAsia="Times New Roman" w:hAnsi="Garamond"/>
          <w:color w:val="000000"/>
          <w:kern w:val="0"/>
          <w:sz w:val="30"/>
          <w:szCs w:val="30"/>
          <w:lang w:eastAsia="it-IT"/>
        </w:rPr>
        <w:t>coglie e, per l’effetto, in riforma della sentenza appellata, accoglie il ricorso e i motivi aggiunti proposti in primo grado da Seatrag Autostrade del Mare s.r.l. e annulla i provvedimenti impugnati.</w:t>
      </w:r>
    </w:p>
    <w:p w14:paraId="1F9D6C01"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Condanna le amministrazioni appellate, in solido tra lo</w:t>
      </w:r>
      <w:r>
        <w:rPr>
          <w:rFonts w:ascii="Garamond" w:eastAsia="Times New Roman" w:hAnsi="Garamond"/>
          <w:color w:val="000000"/>
          <w:kern w:val="0"/>
          <w:sz w:val="30"/>
          <w:szCs w:val="30"/>
          <w:lang w:eastAsia="it-IT"/>
        </w:rPr>
        <w:t>ro, al pagamento delle spese processuali dei due gradi in favore dell’appellante, complessivamente liquidate nell’importo di € 6.000,00, oltre accessori come per legge.</w:t>
      </w:r>
    </w:p>
    <w:p w14:paraId="75451F34"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Compensa le spese processuali dei due gradi tra l’appellante e la controinteressata.</w:t>
      </w:r>
    </w:p>
    <w:p w14:paraId="77CAFA9C"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Or</w:t>
      </w:r>
      <w:r>
        <w:rPr>
          <w:rFonts w:ascii="Garamond" w:eastAsia="Times New Roman" w:hAnsi="Garamond"/>
          <w:color w:val="000000"/>
          <w:kern w:val="0"/>
          <w:sz w:val="30"/>
          <w:szCs w:val="30"/>
          <w:lang w:eastAsia="it-IT"/>
        </w:rPr>
        <w:t>dina che la presente sentenza sia eseguita dall'autorità amministrativa.</w:t>
      </w:r>
    </w:p>
    <w:p w14:paraId="40FD2217" w14:textId="77777777" w:rsidR="00491DEC" w:rsidRDefault="005229DF">
      <w:pPr>
        <w:spacing w:after="0" w:line="520" w:lineRule="atLeast"/>
        <w:jc w:val="both"/>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Così deciso in Roma nella camera di consiglio del giorno 26 marzo 2026 con l'intervento dei magistrati:</w:t>
      </w:r>
    </w:p>
    <w:p w14:paraId="4A11AA17" w14:textId="77777777" w:rsidR="00491DEC" w:rsidRDefault="005229DF">
      <w:pPr>
        <w:spacing w:after="0" w:line="520" w:lineRule="atLeast"/>
        <w:ind w:firstLine="567"/>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Paolo Giovanni Nicolo' Lotti, Presidente</w:t>
      </w:r>
    </w:p>
    <w:p w14:paraId="22B7171D" w14:textId="77777777" w:rsidR="00491DEC" w:rsidRDefault="005229DF">
      <w:pPr>
        <w:spacing w:after="0" w:line="520" w:lineRule="atLeast"/>
        <w:ind w:firstLine="567"/>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Giuseppina Luciana Barreca, Consiglier</w:t>
      </w:r>
      <w:r>
        <w:rPr>
          <w:rFonts w:ascii="Garamond" w:eastAsia="Times New Roman" w:hAnsi="Garamond"/>
          <w:color w:val="000000"/>
          <w:kern w:val="0"/>
          <w:sz w:val="30"/>
          <w:szCs w:val="30"/>
          <w:lang w:eastAsia="it-IT"/>
        </w:rPr>
        <w:t>e, Estensore</w:t>
      </w:r>
    </w:p>
    <w:p w14:paraId="64FE7672" w14:textId="77777777" w:rsidR="00491DEC" w:rsidRDefault="005229DF">
      <w:pPr>
        <w:spacing w:after="0" w:line="520" w:lineRule="atLeast"/>
        <w:ind w:firstLine="567"/>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Elena Quadri, Consigliere</w:t>
      </w:r>
    </w:p>
    <w:p w14:paraId="1112D520" w14:textId="77777777" w:rsidR="00491DEC" w:rsidRDefault="005229DF">
      <w:pPr>
        <w:spacing w:after="0" w:line="520" w:lineRule="atLeast"/>
        <w:ind w:firstLine="567"/>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Annamaria Fasano, Consigliere</w:t>
      </w:r>
    </w:p>
    <w:p w14:paraId="1A86DAB5" w14:textId="77777777" w:rsidR="00491DEC" w:rsidRDefault="005229DF">
      <w:pPr>
        <w:spacing w:after="0" w:line="520" w:lineRule="atLeast"/>
        <w:ind w:firstLine="567"/>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Massimo Santini, Consigliere</w:t>
      </w:r>
    </w:p>
    <w:tbl>
      <w:tblPr>
        <w:tblW w:w="5000" w:type="pct"/>
        <w:tblCellMar>
          <w:left w:w="10" w:type="dxa"/>
          <w:right w:w="10" w:type="dxa"/>
        </w:tblCellMar>
        <w:tblLook w:val="0000" w:firstRow="0" w:lastRow="0" w:firstColumn="0" w:lastColumn="0" w:noHBand="0" w:noVBand="0"/>
      </w:tblPr>
      <w:tblGrid>
        <w:gridCol w:w="4821"/>
        <w:gridCol w:w="50"/>
        <w:gridCol w:w="4767"/>
      </w:tblGrid>
      <w:tr w:rsidR="00491DEC" w14:paraId="2F9F275C"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4281206E"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 </w:t>
            </w:r>
          </w:p>
        </w:tc>
        <w:tc>
          <w:tcPr>
            <w:tcW w:w="50" w:type="dxa"/>
            <w:shd w:val="clear" w:color="auto" w:fill="auto"/>
            <w:tcMar>
              <w:top w:w="15" w:type="dxa"/>
              <w:left w:w="15" w:type="dxa"/>
              <w:bottom w:w="15" w:type="dxa"/>
              <w:right w:w="15" w:type="dxa"/>
            </w:tcMar>
            <w:vAlign w:val="center"/>
          </w:tcPr>
          <w:p w14:paraId="6EC5EB28"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39DB5D82" w14:textId="77777777" w:rsidR="00491DEC" w:rsidRDefault="00491DEC">
            <w:pPr>
              <w:spacing w:after="0" w:line="240" w:lineRule="auto"/>
              <w:jc w:val="center"/>
              <w:rPr>
                <w:rFonts w:ascii="Times New Roman" w:eastAsia="Times New Roman" w:hAnsi="Times New Roman"/>
                <w:kern w:val="0"/>
                <w:sz w:val="20"/>
                <w:szCs w:val="20"/>
                <w:lang w:eastAsia="it-IT"/>
              </w:rPr>
            </w:pPr>
          </w:p>
        </w:tc>
      </w:tr>
      <w:tr w:rsidR="00491DEC" w14:paraId="1EDD0356"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07B5B3D1"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 </w:t>
            </w:r>
          </w:p>
        </w:tc>
        <w:tc>
          <w:tcPr>
            <w:tcW w:w="50" w:type="dxa"/>
            <w:shd w:val="clear" w:color="auto" w:fill="auto"/>
            <w:tcMar>
              <w:top w:w="15" w:type="dxa"/>
              <w:left w:w="15" w:type="dxa"/>
              <w:bottom w:w="15" w:type="dxa"/>
              <w:right w:w="15" w:type="dxa"/>
            </w:tcMar>
            <w:vAlign w:val="center"/>
          </w:tcPr>
          <w:p w14:paraId="60BFFFA9"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40BFF313" w14:textId="77777777" w:rsidR="00491DEC" w:rsidRDefault="00491DEC">
            <w:pPr>
              <w:spacing w:after="0" w:line="240" w:lineRule="auto"/>
              <w:jc w:val="center"/>
              <w:rPr>
                <w:rFonts w:ascii="Times New Roman" w:eastAsia="Times New Roman" w:hAnsi="Times New Roman"/>
                <w:kern w:val="0"/>
                <w:sz w:val="20"/>
                <w:szCs w:val="20"/>
                <w:lang w:eastAsia="it-IT"/>
              </w:rPr>
            </w:pPr>
          </w:p>
        </w:tc>
      </w:tr>
      <w:tr w:rsidR="00491DEC" w14:paraId="7263540B"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1FD5AF25"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L'ESTENSORE</w:t>
            </w:r>
          </w:p>
        </w:tc>
        <w:tc>
          <w:tcPr>
            <w:tcW w:w="50" w:type="dxa"/>
            <w:shd w:val="clear" w:color="auto" w:fill="auto"/>
            <w:tcMar>
              <w:top w:w="15" w:type="dxa"/>
              <w:left w:w="15" w:type="dxa"/>
              <w:bottom w:w="15" w:type="dxa"/>
              <w:right w:w="15" w:type="dxa"/>
            </w:tcMar>
            <w:vAlign w:val="center"/>
          </w:tcPr>
          <w:p w14:paraId="63ACDB0E"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795CA643"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IL PRESIDENTE</w:t>
            </w:r>
          </w:p>
        </w:tc>
      </w:tr>
      <w:tr w:rsidR="00491DEC" w14:paraId="3ECFC548"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679C2600"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Giuseppina Luciana Barreca</w:t>
            </w:r>
          </w:p>
        </w:tc>
        <w:tc>
          <w:tcPr>
            <w:tcW w:w="50" w:type="dxa"/>
            <w:shd w:val="clear" w:color="auto" w:fill="auto"/>
            <w:tcMar>
              <w:top w:w="15" w:type="dxa"/>
              <w:left w:w="15" w:type="dxa"/>
              <w:bottom w:w="15" w:type="dxa"/>
              <w:right w:w="15" w:type="dxa"/>
            </w:tcMar>
            <w:vAlign w:val="center"/>
          </w:tcPr>
          <w:p w14:paraId="6C6ABF84"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56420BE9"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Paolo Giovanni Nicolo' Lotti</w:t>
            </w:r>
          </w:p>
        </w:tc>
      </w:tr>
      <w:tr w:rsidR="00491DEC" w14:paraId="6C2DFBC9"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43D03A9D"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 </w:t>
            </w:r>
          </w:p>
        </w:tc>
        <w:tc>
          <w:tcPr>
            <w:tcW w:w="50" w:type="dxa"/>
            <w:shd w:val="clear" w:color="auto" w:fill="auto"/>
            <w:tcMar>
              <w:top w:w="15" w:type="dxa"/>
              <w:left w:w="15" w:type="dxa"/>
              <w:bottom w:w="15" w:type="dxa"/>
              <w:right w:w="15" w:type="dxa"/>
            </w:tcMar>
            <w:vAlign w:val="center"/>
          </w:tcPr>
          <w:p w14:paraId="2665829C"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1F5071E4" w14:textId="77777777" w:rsidR="00491DEC" w:rsidRDefault="00491DEC">
            <w:pPr>
              <w:spacing w:after="0" w:line="240" w:lineRule="auto"/>
              <w:jc w:val="center"/>
              <w:rPr>
                <w:rFonts w:ascii="Times New Roman" w:eastAsia="Times New Roman" w:hAnsi="Times New Roman"/>
                <w:kern w:val="0"/>
                <w:sz w:val="20"/>
                <w:szCs w:val="20"/>
                <w:lang w:eastAsia="it-IT"/>
              </w:rPr>
            </w:pPr>
          </w:p>
        </w:tc>
      </w:tr>
      <w:tr w:rsidR="00491DEC" w14:paraId="5B03B456"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3B21448F"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 </w:t>
            </w:r>
          </w:p>
        </w:tc>
        <w:tc>
          <w:tcPr>
            <w:tcW w:w="50" w:type="dxa"/>
            <w:shd w:val="clear" w:color="auto" w:fill="auto"/>
            <w:tcMar>
              <w:top w:w="15" w:type="dxa"/>
              <w:left w:w="15" w:type="dxa"/>
              <w:bottom w:w="15" w:type="dxa"/>
              <w:right w:w="15" w:type="dxa"/>
            </w:tcMar>
            <w:vAlign w:val="center"/>
          </w:tcPr>
          <w:p w14:paraId="064FE337"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41CC7079" w14:textId="77777777" w:rsidR="00491DEC" w:rsidRDefault="00491DEC">
            <w:pPr>
              <w:spacing w:after="0" w:line="240" w:lineRule="auto"/>
              <w:jc w:val="center"/>
              <w:rPr>
                <w:rFonts w:ascii="Times New Roman" w:eastAsia="Times New Roman" w:hAnsi="Times New Roman"/>
                <w:kern w:val="0"/>
                <w:sz w:val="20"/>
                <w:szCs w:val="20"/>
                <w:lang w:eastAsia="it-IT"/>
              </w:rPr>
            </w:pPr>
          </w:p>
        </w:tc>
      </w:tr>
      <w:tr w:rsidR="00491DEC" w14:paraId="5B928C4F"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382A340A"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 </w:t>
            </w:r>
          </w:p>
        </w:tc>
        <w:tc>
          <w:tcPr>
            <w:tcW w:w="50" w:type="dxa"/>
            <w:shd w:val="clear" w:color="auto" w:fill="auto"/>
            <w:tcMar>
              <w:top w:w="15" w:type="dxa"/>
              <w:left w:w="15" w:type="dxa"/>
              <w:bottom w:w="15" w:type="dxa"/>
              <w:right w:w="15" w:type="dxa"/>
            </w:tcMar>
            <w:vAlign w:val="center"/>
          </w:tcPr>
          <w:p w14:paraId="461B3395"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1C96ADB4" w14:textId="77777777" w:rsidR="00491DEC" w:rsidRDefault="00491DEC">
            <w:pPr>
              <w:spacing w:after="0" w:line="240" w:lineRule="auto"/>
              <w:jc w:val="center"/>
              <w:rPr>
                <w:rFonts w:ascii="Times New Roman" w:eastAsia="Times New Roman" w:hAnsi="Times New Roman"/>
                <w:kern w:val="0"/>
                <w:sz w:val="20"/>
                <w:szCs w:val="20"/>
                <w:lang w:eastAsia="it-IT"/>
              </w:rPr>
            </w:pPr>
          </w:p>
        </w:tc>
      </w:tr>
      <w:tr w:rsidR="00491DEC" w14:paraId="0B9844AD"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201D9C33"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 </w:t>
            </w:r>
          </w:p>
        </w:tc>
        <w:tc>
          <w:tcPr>
            <w:tcW w:w="50" w:type="dxa"/>
            <w:shd w:val="clear" w:color="auto" w:fill="auto"/>
            <w:tcMar>
              <w:top w:w="15" w:type="dxa"/>
              <w:left w:w="15" w:type="dxa"/>
              <w:bottom w:w="15" w:type="dxa"/>
              <w:right w:w="15" w:type="dxa"/>
            </w:tcMar>
            <w:vAlign w:val="center"/>
          </w:tcPr>
          <w:p w14:paraId="2AFE20C7"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723C3A5F" w14:textId="77777777" w:rsidR="00491DEC" w:rsidRDefault="00491DEC">
            <w:pPr>
              <w:spacing w:after="0" w:line="240" w:lineRule="auto"/>
              <w:jc w:val="center"/>
              <w:rPr>
                <w:rFonts w:ascii="Times New Roman" w:eastAsia="Times New Roman" w:hAnsi="Times New Roman"/>
                <w:kern w:val="0"/>
                <w:sz w:val="20"/>
                <w:szCs w:val="20"/>
                <w:lang w:eastAsia="it-IT"/>
              </w:rPr>
            </w:pPr>
          </w:p>
        </w:tc>
      </w:tr>
      <w:tr w:rsidR="00491DEC" w14:paraId="44D3C7EF" w14:textId="77777777">
        <w:tblPrEx>
          <w:tblCellMar>
            <w:top w:w="0" w:type="dxa"/>
            <w:bottom w:w="0" w:type="dxa"/>
          </w:tblCellMar>
        </w:tblPrEx>
        <w:tc>
          <w:tcPr>
            <w:tcW w:w="4821" w:type="dxa"/>
            <w:shd w:val="clear" w:color="auto" w:fill="auto"/>
            <w:tcMar>
              <w:top w:w="15" w:type="dxa"/>
              <w:left w:w="15" w:type="dxa"/>
              <w:bottom w:w="15" w:type="dxa"/>
              <w:right w:w="15" w:type="dxa"/>
            </w:tcMar>
            <w:vAlign w:val="center"/>
          </w:tcPr>
          <w:p w14:paraId="6B8F658E" w14:textId="77777777" w:rsidR="00491DEC" w:rsidRDefault="005229DF">
            <w:pPr>
              <w:spacing w:after="0" w:line="240" w:lineRule="auto"/>
              <w:jc w:val="center"/>
              <w:rPr>
                <w:rFonts w:ascii="Times New Roman" w:eastAsia="Times New Roman" w:hAnsi="Times New Roman"/>
                <w:b/>
                <w:bCs/>
                <w:kern w:val="0"/>
                <w:sz w:val="28"/>
                <w:szCs w:val="28"/>
                <w:lang w:eastAsia="it-IT"/>
              </w:rPr>
            </w:pPr>
            <w:r>
              <w:rPr>
                <w:rFonts w:ascii="Times New Roman" w:eastAsia="Times New Roman" w:hAnsi="Times New Roman"/>
                <w:b/>
                <w:bCs/>
                <w:kern w:val="0"/>
                <w:sz w:val="28"/>
                <w:szCs w:val="28"/>
                <w:lang w:eastAsia="it-IT"/>
              </w:rPr>
              <w:t> </w:t>
            </w:r>
          </w:p>
        </w:tc>
        <w:tc>
          <w:tcPr>
            <w:tcW w:w="50" w:type="dxa"/>
            <w:shd w:val="clear" w:color="auto" w:fill="auto"/>
            <w:tcMar>
              <w:top w:w="15" w:type="dxa"/>
              <w:left w:w="15" w:type="dxa"/>
              <w:bottom w:w="15" w:type="dxa"/>
              <w:right w:w="15" w:type="dxa"/>
            </w:tcMar>
            <w:vAlign w:val="center"/>
          </w:tcPr>
          <w:p w14:paraId="7737E814" w14:textId="77777777" w:rsidR="00491DEC" w:rsidRDefault="00491DEC">
            <w:pPr>
              <w:spacing w:after="0" w:line="240" w:lineRule="auto"/>
              <w:jc w:val="center"/>
              <w:rPr>
                <w:rFonts w:ascii="Times New Roman" w:eastAsia="Times New Roman" w:hAnsi="Times New Roman"/>
                <w:b/>
                <w:bCs/>
                <w:kern w:val="0"/>
                <w:sz w:val="28"/>
                <w:szCs w:val="28"/>
                <w:lang w:eastAsia="it-IT"/>
              </w:rPr>
            </w:pPr>
          </w:p>
        </w:tc>
        <w:tc>
          <w:tcPr>
            <w:tcW w:w="4767" w:type="dxa"/>
            <w:shd w:val="clear" w:color="auto" w:fill="auto"/>
            <w:tcMar>
              <w:top w:w="15" w:type="dxa"/>
              <w:left w:w="15" w:type="dxa"/>
              <w:bottom w:w="15" w:type="dxa"/>
              <w:right w:w="15" w:type="dxa"/>
            </w:tcMar>
            <w:vAlign w:val="center"/>
          </w:tcPr>
          <w:p w14:paraId="36CF2BE5" w14:textId="77777777" w:rsidR="00491DEC" w:rsidRDefault="00491DEC">
            <w:pPr>
              <w:spacing w:after="0" w:line="240" w:lineRule="auto"/>
              <w:jc w:val="center"/>
              <w:rPr>
                <w:rFonts w:ascii="Times New Roman" w:eastAsia="Times New Roman" w:hAnsi="Times New Roman"/>
                <w:kern w:val="0"/>
                <w:sz w:val="20"/>
                <w:szCs w:val="20"/>
                <w:lang w:eastAsia="it-IT"/>
              </w:rPr>
            </w:pPr>
          </w:p>
        </w:tc>
      </w:tr>
    </w:tbl>
    <w:p w14:paraId="0BA9EA34" w14:textId="77777777" w:rsidR="00491DEC" w:rsidRDefault="005229DF">
      <w:pPr>
        <w:spacing w:after="0" w:line="540" w:lineRule="atLeast"/>
        <w:jc w:val="center"/>
        <w:rPr>
          <w:rFonts w:ascii="Garamond" w:eastAsia="Times New Roman" w:hAnsi="Garamond"/>
          <w:color w:val="000000"/>
          <w:kern w:val="0"/>
          <w:sz w:val="30"/>
          <w:szCs w:val="30"/>
          <w:lang w:eastAsia="it-IT"/>
        </w:rPr>
      </w:pPr>
      <w:r>
        <w:rPr>
          <w:rFonts w:ascii="Garamond" w:eastAsia="Times New Roman" w:hAnsi="Garamond"/>
          <w:color w:val="000000"/>
          <w:kern w:val="0"/>
          <w:sz w:val="30"/>
          <w:szCs w:val="30"/>
          <w:lang w:eastAsia="it-IT"/>
        </w:rPr>
        <w:t>IL SEGRETARIO</w:t>
      </w:r>
    </w:p>
    <w:p w14:paraId="108A8038" w14:textId="77777777" w:rsidR="00491DEC" w:rsidRDefault="00491DEC"/>
    <w:sectPr w:rsidR="00491DEC">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A5D59" w14:textId="77777777" w:rsidR="00000000" w:rsidRDefault="005229DF">
      <w:pPr>
        <w:spacing w:after="0" w:line="240" w:lineRule="auto"/>
      </w:pPr>
      <w:r>
        <w:separator/>
      </w:r>
    </w:p>
  </w:endnote>
  <w:endnote w:type="continuationSeparator" w:id="0">
    <w:p w14:paraId="5D128362" w14:textId="77777777" w:rsidR="00000000" w:rsidRDefault="0052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C8D09" w14:textId="77777777" w:rsidR="00000000" w:rsidRDefault="005229DF">
      <w:pPr>
        <w:spacing w:after="0" w:line="240" w:lineRule="auto"/>
      </w:pPr>
      <w:r>
        <w:rPr>
          <w:color w:val="000000"/>
        </w:rPr>
        <w:separator/>
      </w:r>
    </w:p>
  </w:footnote>
  <w:footnote w:type="continuationSeparator" w:id="0">
    <w:p w14:paraId="70F14E36" w14:textId="77777777" w:rsidR="00000000" w:rsidRDefault="0052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91DEC"/>
    <w:rsid w:val="00491DEC"/>
    <w:rsid w:val="005229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B950"/>
  <w15:docId w15:val="{337CB89F-03BB-42D2-A23D-440D4832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it-IT"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pubblica">
    <w:name w:val="repubblica"/>
    <w:basedOn w:val="Normale"/>
    <w:pPr>
      <w:spacing w:before="100" w:after="100" w:line="240" w:lineRule="auto"/>
    </w:pPr>
    <w:rPr>
      <w:rFonts w:ascii="Times New Roman" w:eastAsia="Times New Roman" w:hAnsi="Times New Roman"/>
      <w:kern w:val="0"/>
      <w:sz w:val="24"/>
      <w:szCs w:val="24"/>
      <w:lang w:eastAsia="it-IT"/>
    </w:rPr>
  </w:style>
  <w:style w:type="paragraph" w:customStyle="1" w:styleId="innome">
    <w:name w:val="innome"/>
    <w:basedOn w:val="Normale"/>
    <w:pPr>
      <w:spacing w:before="100" w:after="100" w:line="240" w:lineRule="auto"/>
    </w:pPr>
    <w:rPr>
      <w:rFonts w:ascii="Times New Roman" w:eastAsia="Times New Roman" w:hAnsi="Times New Roman"/>
      <w:kern w:val="0"/>
      <w:sz w:val="24"/>
      <w:szCs w:val="24"/>
      <w:lang w:eastAsia="it-IT"/>
    </w:rPr>
  </w:style>
  <w:style w:type="paragraph" w:customStyle="1" w:styleId="sezione">
    <w:name w:val="sezione"/>
    <w:basedOn w:val="Normale"/>
    <w:pPr>
      <w:spacing w:before="100" w:after="100" w:line="240" w:lineRule="auto"/>
    </w:pPr>
    <w:rPr>
      <w:rFonts w:ascii="Times New Roman" w:eastAsia="Times New Roman" w:hAnsi="Times New Roman"/>
      <w:kern w:val="0"/>
      <w:sz w:val="24"/>
      <w:szCs w:val="24"/>
      <w:lang w:eastAsia="it-IT"/>
    </w:rPr>
  </w:style>
  <w:style w:type="paragraph" w:customStyle="1" w:styleId="tabula">
    <w:name w:val="tabula"/>
    <w:basedOn w:val="Normale"/>
    <w:pPr>
      <w:spacing w:before="100" w:after="100" w:line="240" w:lineRule="auto"/>
    </w:pPr>
    <w:rPr>
      <w:rFonts w:ascii="Times New Roman" w:eastAsia="Times New Roman" w:hAnsi="Times New Roman"/>
      <w:kern w:val="0"/>
      <w:sz w:val="24"/>
      <w:szCs w:val="24"/>
      <w:lang w:eastAsia="it-IT"/>
    </w:rPr>
  </w:style>
  <w:style w:type="paragraph" w:customStyle="1" w:styleId="popolo">
    <w:name w:val="popolo"/>
    <w:basedOn w:val="Normale"/>
    <w:pPr>
      <w:spacing w:before="100" w:after="100" w:line="240" w:lineRule="auto"/>
    </w:pPr>
    <w:rPr>
      <w:rFonts w:ascii="Times New Roman" w:eastAsia="Times New Roman" w:hAnsi="Times New Roman"/>
      <w:kern w:val="0"/>
      <w:sz w:val="24"/>
      <w:szCs w:val="24"/>
      <w:lang w:eastAsia="it-IT"/>
    </w:rPr>
  </w:style>
  <w:style w:type="paragraph" w:customStyle="1" w:styleId="contro">
    <w:name w:val="contro"/>
    <w:basedOn w:val="Normale"/>
    <w:pPr>
      <w:spacing w:before="100" w:after="100" w:line="240" w:lineRule="auto"/>
    </w:pPr>
    <w:rPr>
      <w:rFonts w:ascii="Times New Roman" w:eastAsia="Times New Roman" w:hAnsi="Times New Roman"/>
      <w:kern w:val="0"/>
      <w:sz w:val="24"/>
      <w:szCs w:val="24"/>
      <w:lang w:eastAsia="it-IT"/>
    </w:rPr>
  </w:style>
  <w:style w:type="paragraph" w:customStyle="1" w:styleId="fatto">
    <w:name w:val="fatto"/>
    <w:basedOn w:val="Normale"/>
    <w:pPr>
      <w:spacing w:before="100" w:after="100" w:line="240" w:lineRule="auto"/>
    </w:pPr>
    <w:rPr>
      <w:rFonts w:ascii="Times New Roman" w:eastAsia="Times New Roman" w:hAnsi="Times New Roman"/>
      <w:kern w:val="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7767</Words>
  <Characters>44274</Characters>
  <Application>Microsoft Office Word</Application>
  <DocSecurity>0</DocSecurity>
  <Lines>368</Lines>
  <Paragraphs>103</Paragraphs>
  <ScaleCrop>false</ScaleCrop>
  <Company/>
  <LinksUpToDate>false</LinksUpToDate>
  <CharactersWithSpaces>51938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Utente</cp:lastModifiedBy>
  <cp:revision>2</cp:revision>
  <dcterms:created xsi:type="dcterms:W3CDTF">2026-07-08T09:24:00Z</dcterms:created>
  <dcterms:modified xsi:type="dcterms:W3CDTF">2026-07-08T09:24:00Z</dcterms:modified>
</cp:coreProperties>
</file>